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7557BDF"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w:t>
      </w:r>
      <w:r w:rsidR="003F7722">
        <w:rPr>
          <w:lang w:val="pt-BR"/>
        </w:rPr>
        <w:t>3</w:t>
      </w:r>
      <w:r w:rsidRPr="001907DE">
        <w:rPr>
          <w:lang w:val="pt-BR"/>
        </w:rPr>
        <w:tab/>
      </w:r>
      <w:r w:rsidR="004826B5" w:rsidRPr="004826B5">
        <w:rPr>
          <w:szCs w:val="24"/>
        </w:rPr>
        <w:t>R2-2308587</w:t>
      </w:r>
    </w:p>
    <w:p w14:paraId="563583F6" w14:textId="3F23514C" w:rsidR="005E1E05" w:rsidRPr="00CE0424" w:rsidRDefault="003F7722" w:rsidP="005E1E05">
      <w:pPr>
        <w:pStyle w:val="3GPPHeader"/>
      </w:pPr>
      <w:r>
        <w:t>August</w:t>
      </w:r>
      <w:r w:rsidR="00CB7FF0">
        <w:t xml:space="preserve"> </w:t>
      </w:r>
      <w:r>
        <w:t>21</w:t>
      </w:r>
      <w:r w:rsidR="00CB7FF0">
        <w:t xml:space="preserve"> – </w:t>
      </w:r>
      <w:r>
        <w:t>25</w:t>
      </w:r>
      <w:r w:rsidR="00CB7FF0">
        <w:t>,</w:t>
      </w:r>
      <w:r w:rsidR="005E1E05" w:rsidRPr="002103F2">
        <w:t xml:space="preserve"> 202</w:t>
      </w:r>
      <w:r w:rsidR="00191769">
        <w:t>3</w:t>
      </w:r>
      <w:r>
        <w:t>, Toulouse, F</w:t>
      </w:r>
      <w:r w:rsidR="006426A3">
        <w:t>rance</w:t>
      </w:r>
    </w:p>
    <w:p w14:paraId="603EB941" w14:textId="77777777" w:rsidR="00E5637E" w:rsidRDefault="00E5637E" w:rsidP="00F64C2B">
      <w:pPr>
        <w:pStyle w:val="3GPPHeader"/>
        <w:rPr>
          <w:sz w:val="22"/>
          <w:szCs w:val="22"/>
          <w:lang w:val="en-US"/>
        </w:rPr>
      </w:pPr>
    </w:p>
    <w:p w14:paraId="7F4474A6" w14:textId="5D2BA42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7.5.4.1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94EBA6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BSR enhancements for XR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25F954DE"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w:t>
      </w:r>
      <w:r w:rsidR="0027188C">
        <w:rPr>
          <w:lang w:val="en-US"/>
        </w:rPr>
        <w:t>BSR enhancements including a new static 8 bit table and delay reporting of buffered data in uplink.</w:t>
      </w:r>
    </w:p>
    <w:p w14:paraId="0BFA937C" w14:textId="77777777" w:rsidR="004A76D3" w:rsidRPr="00D23FA6" w:rsidRDefault="004A76D3" w:rsidP="004A76D3">
      <w:pPr>
        <w:pStyle w:val="BodyText"/>
        <w:rPr>
          <w:lang w:val="en-US"/>
        </w:rPr>
      </w:pPr>
    </w:p>
    <w:bookmarkEnd w:id="2"/>
    <w:p w14:paraId="605C72B1" w14:textId="05D1F538" w:rsidR="00083925" w:rsidRDefault="00E544BF" w:rsidP="00E544BF">
      <w:pPr>
        <w:pStyle w:val="Heading1"/>
      </w:pPr>
      <w:r>
        <w:t>2</w:t>
      </w:r>
      <w:r>
        <w:tab/>
      </w:r>
      <w:r w:rsidR="004000E8" w:rsidRPr="00E544BF">
        <w:t>Discussion</w:t>
      </w:r>
      <w:r w:rsidR="00D72025">
        <w:t xml:space="preserve"> on </w:t>
      </w:r>
      <w:r w:rsidR="00D91361" w:rsidRPr="00D91361">
        <w:t>BSR enhancements for XR</w:t>
      </w:r>
    </w:p>
    <w:p w14:paraId="4BEC853D" w14:textId="6C7C3741" w:rsidR="00991E21" w:rsidRDefault="00991E21" w:rsidP="00443664">
      <w:pPr>
        <w:pStyle w:val="BodyText"/>
      </w:pPr>
      <w:r>
        <w:t>At the last RAN2 the following was agreed regarding BSR table:</w:t>
      </w:r>
    </w:p>
    <w:p w14:paraId="3A5685ED" w14:textId="77777777" w:rsidR="00991E21" w:rsidRPr="00991E21" w:rsidRDefault="00991E21" w:rsidP="008A729F">
      <w:pPr>
        <w:pStyle w:val="BodyText"/>
        <w:numPr>
          <w:ilvl w:val="0"/>
          <w:numId w:val="16"/>
        </w:numPr>
      </w:pPr>
      <w:r w:rsidRPr="00991E21">
        <w:rPr>
          <w:b/>
          <w:bCs/>
        </w:rPr>
        <w:t>Support one static BSR table with 8 bits BS field for Rel-18 XR (for all cases).</w:t>
      </w:r>
    </w:p>
    <w:p w14:paraId="24F2CEDB" w14:textId="6D67A9AE" w:rsidR="00687286" w:rsidRDefault="00991E21" w:rsidP="008A729F">
      <w:pPr>
        <w:pStyle w:val="BodyText"/>
        <w:numPr>
          <w:ilvl w:val="0"/>
          <w:numId w:val="16"/>
        </w:numPr>
      </w:pPr>
      <w:r w:rsidRPr="00991E21">
        <w:rPr>
          <w:b/>
          <w:bCs/>
        </w:rPr>
        <w:t>We do not support additional piecewise linear BSR table in Rel-18. Can consider piecewise linearity when discussing how the BSR table values are defined.</w:t>
      </w:r>
      <w:r w:rsidR="00C61AF2">
        <w:t xml:space="preserve"> </w:t>
      </w:r>
    </w:p>
    <w:p w14:paraId="3CE578A3" w14:textId="40E92772" w:rsidR="008A729F" w:rsidRDefault="008A729F" w:rsidP="008A729F">
      <w:pPr>
        <w:pStyle w:val="BodyText"/>
      </w:pPr>
      <w:r>
        <w:t>For delay reporting the following was agreed:</w:t>
      </w:r>
    </w:p>
    <w:p w14:paraId="547A439E" w14:textId="7443F454" w:rsidR="008A729F" w:rsidRPr="008A729F" w:rsidRDefault="008A729F" w:rsidP="008A729F">
      <w:pPr>
        <w:pStyle w:val="BodyText"/>
        <w:numPr>
          <w:ilvl w:val="0"/>
          <w:numId w:val="17"/>
        </w:numPr>
      </w:pPr>
      <w:r w:rsidRPr="008A729F">
        <w:rPr>
          <w:b/>
          <w:bCs/>
          <w:highlight w:val="yellow"/>
          <w:lang w:val="en-US"/>
        </w:rPr>
        <w:t>UE calculates the remaining time based on the PDCP discard timer value</w:t>
      </w:r>
      <w:r w:rsidRPr="008A729F">
        <w:rPr>
          <w:b/>
          <w:bCs/>
          <w:lang w:val="en-US"/>
        </w:rPr>
        <w:t xml:space="preserve">. </w:t>
      </w:r>
      <w:r w:rsidRPr="008A729F">
        <w:rPr>
          <w:b/>
          <w:bCs/>
          <w:highlight w:val="yellow"/>
          <w:lang w:val="en-US"/>
        </w:rPr>
        <w:t>FFS if UE reports one or multiple values. FFS how this is modelled in PDCP specification.</w:t>
      </w:r>
      <w:r w:rsidRPr="008A729F">
        <w:rPr>
          <w:b/>
          <w:bCs/>
          <w:lang w:val="en-US"/>
        </w:rPr>
        <w:t xml:space="preserve"> FFS which UEs support this.</w:t>
      </w:r>
    </w:p>
    <w:p w14:paraId="7180F8AF" w14:textId="77777777" w:rsidR="008A729F" w:rsidRPr="008A729F" w:rsidRDefault="008A729F" w:rsidP="008A729F">
      <w:pPr>
        <w:pStyle w:val="BodyText"/>
        <w:numPr>
          <w:ilvl w:val="0"/>
          <w:numId w:val="17"/>
        </w:numPr>
      </w:pPr>
      <w:r w:rsidRPr="008A729F">
        <w:rPr>
          <w:b/>
          <w:bCs/>
          <w:lang w:val="en-US"/>
        </w:rPr>
        <w:t xml:space="preserve">When/if UE reports remaining time, the reference time for the remaining time is determined from the point of the first transmission of the information. </w:t>
      </w:r>
      <w:r w:rsidRPr="008A729F">
        <w:rPr>
          <w:b/>
          <w:bCs/>
          <w:highlight w:val="yellow"/>
          <w:lang w:val="en-US"/>
        </w:rPr>
        <w:t>FFS if intra-UE prioritization can impact this.</w:t>
      </w:r>
    </w:p>
    <w:p w14:paraId="536E120E" w14:textId="30A20EDF" w:rsidR="00525EC8" w:rsidRDefault="00FE61BB" w:rsidP="00443664">
      <w:pPr>
        <w:pStyle w:val="BodyText"/>
      </w:pPr>
      <w:r>
        <w:t xml:space="preserve">The following considerations should be taken into account when deciding how to create the </w:t>
      </w:r>
      <w:r w:rsidR="007A6DAA">
        <w:t xml:space="preserve">new </w:t>
      </w:r>
      <w:r w:rsidR="00991E21">
        <w:t xml:space="preserve">static 8 bit </w:t>
      </w:r>
      <w:r>
        <w:t xml:space="preserve">BS table: </w:t>
      </w:r>
    </w:p>
    <w:p w14:paraId="5ACED8C4" w14:textId="21E28810" w:rsidR="00C65C8E" w:rsidRDefault="004A10EA" w:rsidP="008A729F">
      <w:pPr>
        <w:pStyle w:val="BodyText"/>
        <w:numPr>
          <w:ilvl w:val="0"/>
          <w:numId w:val="15"/>
        </w:numPr>
      </w:pPr>
      <w:r>
        <w:t xml:space="preserve">Traffic </w:t>
      </w:r>
      <w:r w:rsidR="00B705DD">
        <w:t>and its characteristics may var</w:t>
      </w:r>
      <w:r w:rsidR="00A84020">
        <w:t xml:space="preserve">y with time. Video frames are a typical example. </w:t>
      </w:r>
      <w:r w:rsidR="00445B60">
        <w:t xml:space="preserve">Different frame types (e.g. </w:t>
      </w:r>
      <w:r w:rsidR="00A84020">
        <w:t>I-frames and P-frames</w:t>
      </w:r>
      <w:r w:rsidR="00445B60">
        <w:t xml:space="preserve">) </w:t>
      </w:r>
      <w:r w:rsidR="00A84020">
        <w:t xml:space="preserve">are characterized by </w:t>
      </w:r>
      <w:r w:rsidR="00D06E7F">
        <w:t xml:space="preserve">rather </w:t>
      </w:r>
      <w:r w:rsidR="00A84020">
        <w:t>different sizes and variance</w:t>
      </w:r>
      <w:r w:rsidR="00D06E7F">
        <w:t xml:space="preserve">. In addition, rate adaptation can also change the </w:t>
      </w:r>
      <w:r w:rsidR="00C55067">
        <w:t>characteristics</w:t>
      </w:r>
      <w:r w:rsidR="00D06E7F">
        <w:t xml:space="preserve"> even for the same type of </w:t>
      </w:r>
      <w:r w:rsidR="00C55067">
        <w:t xml:space="preserve">frame. </w:t>
      </w:r>
      <w:r w:rsidR="0066258F">
        <w:t>The chosen range</w:t>
      </w:r>
      <w:r w:rsidR="006D6609">
        <w:t xml:space="preserve"> </w:t>
      </w:r>
      <w:r w:rsidR="0066258F">
        <w:t>should cover several of these possible buffer s</w:t>
      </w:r>
      <w:r w:rsidR="00513103">
        <w:t>i</w:t>
      </w:r>
      <w:r w:rsidR="0066258F">
        <w:t>ze values, though all values may not be supported in the new table.</w:t>
      </w:r>
    </w:p>
    <w:p w14:paraId="5834266E" w14:textId="0CF71303" w:rsidR="003E3188" w:rsidRDefault="003D68D9" w:rsidP="008A729F">
      <w:pPr>
        <w:pStyle w:val="BodyText"/>
        <w:numPr>
          <w:ilvl w:val="0"/>
          <w:numId w:val="15"/>
        </w:numPr>
      </w:pPr>
      <w:r>
        <w:t xml:space="preserve">The importance of the accuracy may be network dependant. </w:t>
      </w:r>
      <w:r w:rsidR="00850E97">
        <w:t>N</w:t>
      </w:r>
      <w:r w:rsidR="006753C5">
        <w:t xml:space="preserve">etworks with </w:t>
      </w:r>
      <w:r w:rsidR="004E72D6">
        <w:t xml:space="preserve">very high </w:t>
      </w:r>
      <w:r w:rsidR="00850E97">
        <w:t xml:space="preserve">spare </w:t>
      </w:r>
      <w:r w:rsidR="004E72D6">
        <w:t xml:space="preserve">capacity might not be concerned about having </w:t>
      </w:r>
      <w:r w:rsidR="008B6893">
        <w:t xml:space="preserve">accurate values, while those networks with limited capacity </w:t>
      </w:r>
      <w:r w:rsidR="00770EBC">
        <w:t>may need much more accurate reports.</w:t>
      </w:r>
      <w:r w:rsidR="0028274E">
        <w:t xml:space="preserve"> The chosen accuracy thus need to be a compromise.</w:t>
      </w:r>
    </w:p>
    <w:p w14:paraId="7EABB13E" w14:textId="0A8A88C9" w:rsidR="00117D15" w:rsidRDefault="009A20C3" w:rsidP="008A729F">
      <w:pPr>
        <w:pStyle w:val="BodyText"/>
        <w:numPr>
          <w:ilvl w:val="0"/>
          <w:numId w:val="15"/>
        </w:numPr>
      </w:pPr>
      <w:bookmarkStart w:id="3" w:name="_Hlk134609163"/>
      <w:r>
        <w:t xml:space="preserve">The specific range that </w:t>
      </w:r>
      <w:r w:rsidR="00312C4B">
        <w:t xml:space="preserve">may </w:t>
      </w:r>
      <w:r>
        <w:t xml:space="preserve">need to be covered is also dependent on </w:t>
      </w:r>
      <w:r w:rsidR="00312C4B">
        <w:t>the</w:t>
      </w:r>
      <w:r w:rsidR="00E772CC">
        <w:t xml:space="preserve"> </w:t>
      </w:r>
      <w:r w:rsidR="00312C4B">
        <w:t xml:space="preserve">typical </w:t>
      </w:r>
      <w:r w:rsidR="00E772CC">
        <w:t>buffer size</w:t>
      </w:r>
      <w:r w:rsidR="002D0C76">
        <w:t xml:space="preserve"> which is</w:t>
      </w:r>
      <w:r w:rsidR="00E772CC">
        <w:t xml:space="preserve"> </w:t>
      </w:r>
      <w:r w:rsidR="00E322AF">
        <w:t>impacted by</w:t>
      </w:r>
      <w:r w:rsidR="00312C4B">
        <w:t xml:space="preserve"> other traffic services</w:t>
      </w:r>
      <w:r w:rsidR="00A465DA">
        <w:t xml:space="preserve"> running</w:t>
      </w:r>
      <w:r>
        <w:t xml:space="preserve"> and network </w:t>
      </w:r>
      <w:r w:rsidR="00AD2678">
        <w:t xml:space="preserve">and </w:t>
      </w:r>
      <w:r w:rsidR="002D0C76">
        <w:t xml:space="preserve">UE features </w:t>
      </w:r>
      <w:r w:rsidR="00DB2F4E">
        <w:t>deployed</w:t>
      </w:r>
      <w:r>
        <w:t>.</w:t>
      </w:r>
    </w:p>
    <w:p w14:paraId="29C97672" w14:textId="34984828" w:rsidR="009371A3" w:rsidRDefault="009371A3" w:rsidP="008A729F">
      <w:pPr>
        <w:pStyle w:val="BodyText"/>
        <w:numPr>
          <w:ilvl w:val="0"/>
          <w:numId w:val="15"/>
        </w:numPr>
      </w:pPr>
      <w:r>
        <w:t>One possibility is to have several ranges within one table, i.e. piecewise linear. However, that will be the same as supporting multiple tables, and the agreement is to have one new table.</w:t>
      </w:r>
    </w:p>
    <w:bookmarkEnd w:id="3"/>
    <w:p w14:paraId="58C90102" w14:textId="77777777" w:rsidR="0040785C" w:rsidRDefault="00C95063" w:rsidP="0040785C">
      <w:pPr>
        <w:pStyle w:val="Heading2"/>
      </w:pPr>
      <w:r>
        <w:lastRenderedPageBreak/>
        <w:t>2.1</w:t>
      </w:r>
      <w:r>
        <w:tab/>
      </w:r>
      <w:r w:rsidR="0040785C">
        <w:t>Buffer reporting</w:t>
      </w:r>
    </w:p>
    <w:p w14:paraId="7F03F168" w14:textId="773F281E" w:rsidR="003F273F" w:rsidRDefault="0040785C" w:rsidP="00292B2F">
      <w:pPr>
        <w:pStyle w:val="Heading3"/>
      </w:pPr>
      <w:r>
        <w:t>2.1.1</w:t>
      </w:r>
      <w:r>
        <w:tab/>
      </w:r>
      <w:r w:rsidR="0048569D">
        <w:t>New BSR table</w:t>
      </w:r>
    </w:p>
    <w:p w14:paraId="18F502CA" w14:textId="52506ACB" w:rsidR="005F0B33" w:rsidRDefault="00AF1E18" w:rsidP="00EE187F">
      <w:pPr>
        <w:pStyle w:val="BodyText"/>
      </w:pPr>
      <w:r>
        <w:t>R</w:t>
      </w:r>
      <w:r w:rsidR="003863EF">
        <w:t xml:space="preserve">AN2 </w:t>
      </w:r>
      <w:r w:rsidR="00493BC1">
        <w:t>has</w:t>
      </w:r>
      <w:r w:rsidR="00A77072">
        <w:t xml:space="preserve"> now</w:t>
      </w:r>
      <w:r w:rsidR="00493BC1">
        <w:t xml:space="preserve"> </w:t>
      </w:r>
      <w:r w:rsidR="003863EF">
        <w:t xml:space="preserve">made the agreement that one </w:t>
      </w:r>
      <w:r w:rsidR="00493BC1">
        <w:t xml:space="preserve">new </w:t>
      </w:r>
      <w:r w:rsidR="003863EF">
        <w:t>static table should be added</w:t>
      </w:r>
      <w:r w:rsidR="00987214">
        <w:t xml:space="preserve"> </w:t>
      </w:r>
      <w:r w:rsidR="00493BC1">
        <w:t xml:space="preserve">which </w:t>
      </w:r>
      <w:r w:rsidR="00A77072">
        <w:t>should try to</w:t>
      </w:r>
      <w:r w:rsidR="00493BC1">
        <w:t xml:space="preserve"> cover</w:t>
      </w:r>
      <w:r w:rsidR="00987214">
        <w:t xml:space="preserve"> all </w:t>
      </w:r>
      <w:r w:rsidR="00493BC1">
        <w:t xml:space="preserve">traffic </w:t>
      </w:r>
      <w:r w:rsidR="00987214">
        <w:t xml:space="preserve">cases. </w:t>
      </w:r>
      <w:r w:rsidR="0025433B">
        <w:t xml:space="preserve">As </w:t>
      </w:r>
      <w:r w:rsidR="00E3429B">
        <w:t xml:space="preserve">has been </w:t>
      </w:r>
      <w:r w:rsidR="00361BED">
        <w:t>discussed this would imply a large range since many types of</w:t>
      </w:r>
      <w:r w:rsidR="00714F4C">
        <w:t xml:space="preserve"> future</w:t>
      </w:r>
      <w:r w:rsidR="00361BED">
        <w:t xml:space="preserve"> traffic variations need to be </w:t>
      </w:r>
      <w:r w:rsidR="00472225">
        <w:t xml:space="preserve">supported. </w:t>
      </w:r>
      <w:r w:rsidR="009A2143">
        <w:t xml:space="preserve">A proposal was </w:t>
      </w:r>
      <w:r w:rsidR="001F4187">
        <w:t>earlier been made</w:t>
      </w:r>
      <w:r w:rsidR="009A2143">
        <w:t xml:space="preserve"> on a </w:t>
      </w:r>
      <w:r w:rsidR="00380653">
        <w:t xml:space="preserve">linear </w:t>
      </w:r>
      <w:r w:rsidR="009A2143">
        <w:t xml:space="preserve">table with the </w:t>
      </w:r>
      <w:r w:rsidR="00493BC1">
        <w:t>range</w:t>
      </w:r>
      <w:r w:rsidR="00380653">
        <w:t xml:space="preserve"> </w:t>
      </w:r>
      <w:r w:rsidR="009A2143">
        <w:t>o</w:t>
      </w:r>
      <w:r w:rsidR="0094316A">
        <w:t xml:space="preserve">f </w:t>
      </w:r>
      <w:r w:rsidR="007537C6">
        <w:t>44 </w:t>
      </w:r>
      <w:r w:rsidR="0056483B">
        <w:t>289</w:t>
      </w:r>
      <w:r w:rsidR="007537C6">
        <w:t xml:space="preserve"> </w:t>
      </w:r>
      <w:r w:rsidR="00380653">
        <w:t>bytes</w:t>
      </w:r>
      <w:r w:rsidR="00DE2AA7">
        <w:t xml:space="preserve"> (Bmin)</w:t>
      </w:r>
      <w:r w:rsidR="00380653">
        <w:t xml:space="preserve"> to</w:t>
      </w:r>
      <w:r w:rsidR="007537C6">
        <w:t xml:space="preserve"> </w:t>
      </w:r>
      <w:r w:rsidR="00CF1054">
        <w:t>781 </w:t>
      </w:r>
      <w:r w:rsidR="00A64FC0">
        <w:t>250</w:t>
      </w:r>
      <w:r w:rsidR="00CF1054">
        <w:t xml:space="preserve"> bytes</w:t>
      </w:r>
      <w:r w:rsidR="00DE2AA7">
        <w:t xml:space="preserve"> (Bmax)</w:t>
      </w:r>
      <w:r w:rsidR="009C1544">
        <w:t>, hereby called Table</w:t>
      </w:r>
      <w:r w:rsidR="00F04689">
        <w:t>Q</w:t>
      </w:r>
      <w:r w:rsidR="00DE2AA7">
        <w:t xml:space="preserve">. This </w:t>
      </w:r>
      <w:r w:rsidR="00AF346C">
        <w:t>8</w:t>
      </w:r>
      <w:r w:rsidR="00380653">
        <w:t>-</w:t>
      </w:r>
      <w:r w:rsidR="00AF346C">
        <w:t xml:space="preserve">bit table </w:t>
      </w:r>
      <w:r w:rsidR="00DE2AA7">
        <w:t>thus have</w:t>
      </w:r>
      <w:r w:rsidR="00AF346C">
        <w:t xml:space="preserve"> a step size of 28</w:t>
      </w:r>
      <w:r w:rsidR="00DE2AA7">
        <w:t>7</w:t>
      </w:r>
      <w:r w:rsidR="003A05A8">
        <w:t>9</w:t>
      </w:r>
      <w:r w:rsidR="00AF346C">
        <w:t xml:space="preserve"> bytes</w:t>
      </w:r>
      <w:r w:rsidR="00DE2AA7">
        <w:t>.</w:t>
      </w:r>
      <w:r w:rsidR="00380653">
        <w:t xml:space="preserve"> </w:t>
      </w:r>
      <w:r w:rsidR="001F7C1F">
        <w:t xml:space="preserve">Through simulations the impact of introducing </w:t>
      </w:r>
      <w:r w:rsidR="009A74C7">
        <w:t xml:space="preserve">this </w:t>
      </w:r>
      <w:r w:rsidR="001F7C1F">
        <w:t>table can be</w:t>
      </w:r>
      <w:r w:rsidR="00D51ECF">
        <w:t xml:space="preserve"> </w:t>
      </w:r>
      <w:r w:rsidR="004928EE">
        <w:t>evaluated</w:t>
      </w:r>
      <w:r w:rsidR="00D51ECF">
        <w:t xml:space="preserve">. </w:t>
      </w:r>
      <w:r w:rsidR="009A4533">
        <w:t xml:space="preserve">Relevant for </w:t>
      </w:r>
      <w:r w:rsidR="003D3C2C">
        <w:t>analysing the impact</w:t>
      </w:r>
      <w:r w:rsidR="009A4533">
        <w:t xml:space="preserve"> is to </w:t>
      </w:r>
      <w:r w:rsidR="00186F0E">
        <w:t>make comparisons to</w:t>
      </w:r>
      <w:r w:rsidR="009A4533">
        <w:t xml:space="preserve"> other possible tables. </w:t>
      </w:r>
      <w:r w:rsidR="003D3C2C">
        <w:t>Simulation</w:t>
      </w:r>
      <w:r w:rsidR="004928EE">
        <w:t xml:space="preserve"> results for such </w:t>
      </w:r>
      <w:r w:rsidR="003D3C2C">
        <w:t>evaluations</w:t>
      </w:r>
      <w:r w:rsidR="009A4533">
        <w:t xml:space="preserve"> </w:t>
      </w:r>
      <w:r w:rsidR="00E62700">
        <w:t>is shown</w:t>
      </w:r>
      <w:r w:rsidR="009A4533">
        <w:t xml:space="preserve"> in </w:t>
      </w:r>
      <w:r w:rsidR="003D3C2C">
        <w:t>F</w:t>
      </w:r>
      <w:r w:rsidR="009A4533">
        <w:t xml:space="preserve">igure 1. </w:t>
      </w:r>
      <w:r w:rsidR="00DB7009">
        <w:t xml:space="preserve">As can be seen there is a significant change in the amount of supported eMBB traffic </w:t>
      </w:r>
      <w:r w:rsidR="00772F30">
        <w:t>a</w:t>
      </w:r>
      <w:r w:rsidR="007C0B3B">
        <w:t>t</w:t>
      </w:r>
      <w:r w:rsidR="00DB7009">
        <w:t xml:space="preserve"> a </w:t>
      </w:r>
      <w:r w:rsidR="00493BC1">
        <w:t>specific</w:t>
      </w:r>
      <w:r w:rsidR="00DB7009">
        <w:t xml:space="preserve"> XR capacity </w:t>
      </w:r>
      <w:r w:rsidR="002C25ED">
        <w:t xml:space="preserve">with </w:t>
      </w:r>
      <w:r w:rsidR="00772F30">
        <w:t>different</w:t>
      </w:r>
      <w:r w:rsidR="00DB7009">
        <w:t xml:space="preserve"> tables. With finer granularity tables the </w:t>
      </w:r>
      <w:r w:rsidR="004E0D61">
        <w:t xml:space="preserve">amount of supported </w:t>
      </w:r>
      <w:r w:rsidR="000A2BDD">
        <w:t xml:space="preserve">eMBB users </w:t>
      </w:r>
      <w:r w:rsidR="009030AE">
        <w:t xml:space="preserve">can </w:t>
      </w:r>
      <w:r w:rsidR="009030AB">
        <w:t>be increased.</w:t>
      </w:r>
      <w:r w:rsidR="005D4274">
        <w:t xml:space="preserve"> </w:t>
      </w:r>
      <w:r w:rsidR="007C0B3B">
        <w:t>All the way</w:t>
      </w:r>
      <w:r w:rsidR="00811471">
        <w:t xml:space="preserve"> d</w:t>
      </w:r>
      <w:r w:rsidR="00493BC1">
        <w:t>own</w:t>
      </w:r>
      <w:r w:rsidR="000A6CFD">
        <w:t xml:space="preserve"> to a </w:t>
      </w:r>
      <w:r w:rsidR="00811471">
        <w:t>small</w:t>
      </w:r>
      <w:r w:rsidR="00596B4D">
        <w:t xml:space="preserve"> step size</w:t>
      </w:r>
      <w:r w:rsidR="00493BC1">
        <w:t xml:space="preserve"> </w:t>
      </w:r>
      <w:r w:rsidR="00BC2A35">
        <w:t>of</w:t>
      </w:r>
      <w:r w:rsidR="00493BC1">
        <w:t xml:space="preserve"> 200 bytes </w:t>
      </w:r>
      <w:r w:rsidR="00811471">
        <w:t>improvements</w:t>
      </w:r>
      <w:r w:rsidR="00493BC1">
        <w:t xml:space="preserve"> can be observed.</w:t>
      </w:r>
      <w:r w:rsidR="00596B4D">
        <w:t xml:space="preserve"> Another </w:t>
      </w:r>
      <w:r w:rsidR="00436BAE">
        <w:t>noteworthy</w:t>
      </w:r>
      <w:r w:rsidR="00493BC1">
        <w:t xml:space="preserve"> detail</w:t>
      </w:r>
      <w:r w:rsidR="00436BAE">
        <w:t xml:space="preserve"> is that with </w:t>
      </w:r>
      <w:r w:rsidR="00493BC1">
        <w:t>a smaller</w:t>
      </w:r>
      <w:r w:rsidR="00436BAE">
        <w:t xml:space="preserve"> step size the Bmin can </w:t>
      </w:r>
      <w:r w:rsidR="00493BC1">
        <w:t xml:space="preserve">also </w:t>
      </w:r>
      <w:r w:rsidR="00FD7193">
        <w:t xml:space="preserve">be set lower. </w:t>
      </w:r>
      <w:r w:rsidR="00014278">
        <w:t xml:space="preserve">This is </w:t>
      </w:r>
      <w:r w:rsidR="00A211D8">
        <w:t>pr</w:t>
      </w:r>
      <w:r w:rsidR="0012595C">
        <w:t>eferred</w:t>
      </w:r>
      <w:r w:rsidR="00C25FF4">
        <w:t xml:space="preserve"> as h</w:t>
      </w:r>
      <w:r w:rsidR="00E60C04">
        <w:t xml:space="preserve">aving </w:t>
      </w:r>
      <w:r w:rsidR="00493BC1">
        <w:t xml:space="preserve">a </w:t>
      </w:r>
      <w:r w:rsidR="001675BF">
        <w:t xml:space="preserve">lower </w:t>
      </w:r>
      <w:r w:rsidR="00493BC1">
        <w:t>quantization</w:t>
      </w:r>
      <w:r w:rsidR="001675BF">
        <w:t xml:space="preserve"> error</w:t>
      </w:r>
      <w:r w:rsidR="00E60C04">
        <w:t xml:space="preserve"> also for lower </w:t>
      </w:r>
      <w:r w:rsidR="001675BF">
        <w:t xml:space="preserve">buffer </w:t>
      </w:r>
      <w:r w:rsidR="00E60C04">
        <w:t xml:space="preserve">values </w:t>
      </w:r>
      <w:r w:rsidR="0033561C">
        <w:t xml:space="preserve">has </w:t>
      </w:r>
      <w:r w:rsidR="00B80B13">
        <w:t xml:space="preserve">earlier </w:t>
      </w:r>
      <w:r w:rsidR="0033561C">
        <w:t xml:space="preserve">been </w:t>
      </w:r>
      <w:r w:rsidR="00F91E83">
        <w:t>shown</w:t>
      </w:r>
      <w:r w:rsidR="0033561C">
        <w:t xml:space="preserve"> to be</w:t>
      </w:r>
      <w:r w:rsidR="001675BF">
        <w:t xml:space="preserve"> beneficial</w:t>
      </w:r>
      <w:r w:rsidR="00B80B13">
        <w:t>.</w:t>
      </w:r>
    </w:p>
    <w:p w14:paraId="4D88B3F8" w14:textId="50D086F5" w:rsidR="001C3310" w:rsidRDefault="001C3310" w:rsidP="004B76C1">
      <w:pPr>
        <w:pStyle w:val="BodyText"/>
        <w:keepNext/>
      </w:pPr>
      <w:r w:rsidRPr="001C3310">
        <w:rPr>
          <w:noProof/>
        </w:rPr>
        <w:drawing>
          <wp:inline distT="0" distB="0" distL="0" distR="0" wp14:anchorId="45E5C575" wp14:editId="2D2A8E9E">
            <wp:extent cx="6120765" cy="423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236720"/>
                    </a:xfrm>
                    <a:prstGeom prst="rect">
                      <a:avLst/>
                    </a:prstGeom>
                    <a:noFill/>
                    <a:ln>
                      <a:noFill/>
                    </a:ln>
                  </pic:spPr>
                </pic:pic>
              </a:graphicData>
            </a:graphic>
          </wp:inline>
        </w:drawing>
      </w:r>
    </w:p>
    <w:p w14:paraId="00413B12" w14:textId="193D21A8" w:rsidR="00811471" w:rsidRDefault="00811471" w:rsidP="00EF5C41">
      <w:pPr>
        <w:pStyle w:val="Caption"/>
        <w:jc w:val="both"/>
      </w:pPr>
      <w:r>
        <w:t xml:space="preserve">Figure </w:t>
      </w:r>
      <w:r w:rsidR="004826B5">
        <w:fldChar w:fldCharType="begin"/>
      </w:r>
      <w:r w:rsidR="004826B5">
        <w:instrText xml:space="preserve"> SEQ Figure \* ARABIC </w:instrText>
      </w:r>
      <w:r w:rsidR="004826B5">
        <w:fldChar w:fldCharType="separate"/>
      </w:r>
      <w:r w:rsidR="00EF5C41">
        <w:rPr>
          <w:noProof/>
        </w:rPr>
        <w:t>1</w:t>
      </w:r>
      <w:r w:rsidR="004826B5">
        <w:rPr>
          <w:noProof/>
        </w:rPr>
        <w:fldChar w:fldCharType="end"/>
      </w:r>
      <w:r>
        <w:t xml:space="preserve"> </w:t>
      </w:r>
      <w:r w:rsidR="00662306">
        <w:t>XR capacity at various eMBB load points</w:t>
      </w:r>
      <w:r>
        <w:t xml:space="preserve"> </w:t>
      </w:r>
      <w:r w:rsidR="00314F19">
        <w:t xml:space="preserve">with different </w:t>
      </w:r>
      <w:r>
        <w:t>table ranges and step sizes</w:t>
      </w:r>
      <w:r w:rsidR="003A05A8">
        <w:t xml:space="preserve"> (</w:t>
      </w:r>
      <w:r w:rsidR="00B31CAF">
        <w:t xml:space="preserve">in </w:t>
      </w:r>
      <w:r w:rsidR="003A05A8">
        <w:t>bytes).</w:t>
      </w:r>
    </w:p>
    <w:p w14:paraId="430EC7FA" w14:textId="77777777" w:rsidR="00314F19" w:rsidRDefault="00314F19" w:rsidP="00E544BF">
      <w:pPr>
        <w:pStyle w:val="BodyText"/>
      </w:pPr>
    </w:p>
    <w:p w14:paraId="2BF81FB7" w14:textId="7FB852D4" w:rsidR="009A1072" w:rsidRDefault="003611F9" w:rsidP="00EF5C41">
      <w:pPr>
        <w:pStyle w:val="Observation"/>
        <w:numPr>
          <w:ilvl w:val="0"/>
          <w:numId w:val="4"/>
        </w:numPr>
        <w:ind w:left="1701" w:hanging="1701"/>
      </w:pPr>
      <w:r>
        <w:t>Increasing the granularity of the BS</w:t>
      </w:r>
      <w:r w:rsidR="00B31CAF">
        <w:t>R</w:t>
      </w:r>
      <w:r>
        <w:t xml:space="preserve"> tables (down to a step size of 200 bytes)</w:t>
      </w:r>
      <w:r w:rsidR="000074DC">
        <w:t xml:space="preserve"> improves the capacity in </w:t>
      </w:r>
      <w:r w:rsidR="00807F45">
        <w:t>a</w:t>
      </w:r>
      <w:r w:rsidR="000074DC">
        <w:t xml:space="preserve"> network</w:t>
      </w:r>
      <w:r w:rsidR="00B31CAF">
        <w:t xml:space="preserve"> with XR traffic</w:t>
      </w:r>
      <w:r w:rsidR="00053379">
        <w:t>.</w:t>
      </w:r>
    </w:p>
    <w:p w14:paraId="079D529C" w14:textId="77777777" w:rsidR="00395F82" w:rsidRDefault="00395F82" w:rsidP="00E544BF">
      <w:pPr>
        <w:pStyle w:val="BodyText"/>
      </w:pPr>
    </w:p>
    <w:p w14:paraId="3AB7C75D" w14:textId="29C1F231" w:rsidR="008A3897" w:rsidRDefault="00067986" w:rsidP="00E544BF">
      <w:pPr>
        <w:pStyle w:val="BodyText"/>
      </w:pPr>
      <w:r>
        <w:t xml:space="preserve">The conclusion </w:t>
      </w:r>
      <w:r w:rsidR="00314F19">
        <w:t>from these results is</w:t>
      </w:r>
      <w:r>
        <w:t xml:space="preserve"> that there is room for more gains with</w:t>
      </w:r>
      <w:r w:rsidR="00314F19">
        <w:t xml:space="preserve"> </w:t>
      </w:r>
      <w:r>
        <w:t>finer granularity table</w:t>
      </w:r>
      <w:r w:rsidR="008A23AF">
        <w:t>s</w:t>
      </w:r>
      <w:r>
        <w:t xml:space="preserve"> than </w:t>
      </w:r>
      <w:r w:rsidR="00BD524B">
        <w:t>the</w:t>
      </w:r>
      <w:r w:rsidR="008A23AF">
        <w:t xml:space="preserve"> </w:t>
      </w:r>
      <w:r w:rsidR="00BD524B">
        <w:t>linea</w:t>
      </w:r>
      <w:r w:rsidR="00A5715E">
        <w:t>r table</w:t>
      </w:r>
      <w:r w:rsidR="008A23AF">
        <w:t xml:space="preserve"> </w:t>
      </w:r>
      <w:r w:rsidR="00314F19">
        <w:t xml:space="preserve">that has </w:t>
      </w:r>
      <w:r w:rsidR="008A23AF">
        <w:t>so far</w:t>
      </w:r>
      <w:r w:rsidR="00A5715E">
        <w:t xml:space="preserve"> </w:t>
      </w:r>
      <w:r w:rsidR="00314F19">
        <w:t xml:space="preserve">been </w:t>
      </w:r>
      <w:r w:rsidR="00A5715E">
        <w:t xml:space="preserve">proposed. </w:t>
      </w:r>
      <w:r w:rsidR="0011547C">
        <w:t xml:space="preserve">Preferably RAN2 should find a </w:t>
      </w:r>
      <w:r w:rsidR="00AF7F3A">
        <w:t xml:space="preserve">solution that captures </w:t>
      </w:r>
      <w:r w:rsidR="003E55DF">
        <w:t>a major</w:t>
      </w:r>
      <w:r w:rsidR="00006A84">
        <w:t>ity of these gains</w:t>
      </w:r>
      <w:r w:rsidR="0075676E">
        <w:t xml:space="preserve">. </w:t>
      </w:r>
      <w:r w:rsidR="00503740">
        <w:t xml:space="preserve">Leaving out the configurable </w:t>
      </w:r>
      <w:r w:rsidR="008A23AF">
        <w:t>table solution</w:t>
      </w:r>
      <w:r w:rsidR="00A94266">
        <w:t>,</w:t>
      </w:r>
      <w:r w:rsidR="008A23AF">
        <w:t xml:space="preserve"> that was downvoted in </w:t>
      </w:r>
      <w:r w:rsidR="00A94266">
        <w:t xml:space="preserve">earlier </w:t>
      </w:r>
      <w:r w:rsidR="008A23AF">
        <w:t>RAN2</w:t>
      </w:r>
      <w:r w:rsidR="00503740">
        <w:t xml:space="preserve"> </w:t>
      </w:r>
      <w:r w:rsidR="00A94266">
        <w:t>meeting, there</w:t>
      </w:r>
      <w:r w:rsidR="00503740">
        <w:t xml:space="preserve"> are two </w:t>
      </w:r>
      <w:r w:rsidR="008A23AF">
        <w:t xml:space="preserve">other </w:t>
      </w:r>
      <w:r w:rsidR="00503740">
        <w:t xml:space="preserve">possible solutions for this, either </w:t>
      </w:r>
      <w:r w:rsidR="009E3CF1">
        <w:t>decrease</w:t>
      </w:r>
      <w:r w:rsidR="00503740">
        <w:t xml:space="preserve"> the </w:t>
      </w:r>
      <w:r w:rsidR="00530763">
        <w:t>total range (i.e. lower Bmax) or introduce multiple static tables that covers different ranges.</w:t>
      </w:r>
    </w:p>
    <w:p w14:paraId="3206962F" w14:textId="7A9A9BAB" w:rsidR="007037F3" w:rsidRDefault="007037F3" w:rsidP="00E544BF">
      <w:pPr>
        <w:pStyle w:val="BodyText"/>
      </w:pPr>
    </w:p>
    <w:p w14:paraId="2AEA3381" w14:textId="752F6DD8" w:rsidR="007037F3" w:rsidRPr="004B76C1" w:rsidRDefault="009E3CF1" w:rsidP="004B76C1">
      <w:pPr>
        <w:pStyle w:val="Heading4"/>
        <w:rPr>
          <w:lang w:val="en-US"/>
        </w:rPr>
      </w:pPr>
      <w:r>
        <w:rPr>
          <w:lang w:val="en-US"/>
        </w:rPr>
        <w:lastRenderedPageBreak/>
        <w:t>Smaller range</w:t>
      </w:r>
    </w:p>
    <w:p w14:paraId="7746858E" w14:textId="2F8AE2CE" w:rsidR="00A12434" w:rsidRDefault="005D4F85" w:rsidP="00E544BF">
      <w:pPr>
        <w:pStyle w:val="BodyText"/>
      </w:pPr>
      <w:r>
        <w:t>With lower Bmax the</w:t>
      </w:r>
      <w:r w:rsidR="00B065BB">
        <w:t xml:space="preserve"> step size can be </w:t>
      </w:r>
      <w:r w:rsidR="006B15AA">
        <w:t xml:space="preserve">smaller. </w:t>
      </w:r>
      <w:r w:rsidR="003452AA">
        <w:t xml:space="preserve">For the upper gain limit of around </w:t>
      </w:r>
      <w:r w:rsidR="001E4DE1">
        <w:t xml:space="preserve">200 bytes </w:t>
      </w:r>
      <w:r w:rsidR="003452AA">
        <w:t xml:space="preserve">this would </w:t>
      </w:r>
      <w:r w:rsidR="006F32EF">
        <w:t xml:space="preserve">imply a </w:t>
      </w:r>
      <w:r w:rsidR="003452AA">
        <w:t xml:space="preserve">table </w:t>
      </w:r>
      <w:r w:rsidR="006F32EF">
        <w:t>range of</w:t>
      </w:r>
      <w:r w:rsidR="004A2B9E">
        <w:t xml:space="preserve"> around</w:t>
      </w:r>
      <w:r w:rsidR="006F32EF">
        <w:t xml:space="preserve"> </w:t>
      </w:r>
      <w:r w:rsidR="004A2B9E">
        <w:t>60 000 bytes</w:t>
      </w:r>
      <w:r w:rsidR="003452AA">
        <w:t xml:space="preserve">, i.e. a Bmin </w:t>
      </w:r>
      <w:r w:rsidR="00EC410B">
        <w:t>of 4000 bytes and a</w:t>
      </w:r>
      <w:r w:rsidR="003452AA">
        <w:t xml:space="preserve"> Bmax of</w:t>
      </w:r>
      <w:r w:rsidR="00EC410B">
        <w:t xml:space="preserve"> 60 000 bytes</w:t>
      </w:r>
      <w:r w:rsidR="006F32EF">
        <w:t xml:space="preserve">. </w:t>
      </w:r>
      <w:r w:rsidR="006B15AA">
        <w:t>However the</w:t>
      </w:r>
      <w:r w:rsidR="00EC410B">
        <w:t xml:space="preserve"> XR</w:t>
      </w:r>
      <w:r w:rsidR="006B15AA">
        <w:t xml:space="preserve"> traffic supported </w:t>
      </w:r>
      <w:r w:rsidR="003452AA">
        <w:t>with such</w:t>
      </w:r>
      <w:r w:rsidR="00EC410B">
        <w:t xml:space="preserve"> a narrow</w:t>
      </w:r>
      <w:r w:rsidR="003452AA">
        <w:t xml:space="preserve"> table range </w:t>
      </w:r>
      <w:r w:rsidR="006B15AA">
        <w:t xml:space="preserve">may be </w:t>
      </w:r>
      <w:r w:rsidR="006F32EF">
        <w:t>very limited.</w:t>
      </w:r>
      <w:r w:rsidR="006B15AA">
        <w:t xml:space="preserve"> </w:t>
      </w:r>
      <w:r w:rsidR="00BE7975">
        <w:t>Realistically the</w:t>
      </w:r>
      <w:r w:rsidR="006B15AA">
        <w:t xml:space="preserve"> further</w:t>
      </w:r>
      <w:r w:rsidR="004308A9">
        <w:t xml:space="preserve"> down the </w:t>
      </w:r>
      <w:r w:rsidR="003452AA">
        <w:t>Bmax</w:t>
      </w:r>
      <w:r w:rsidR="004308A9">
        <w:t xml:space="preserve"> is set the</w:t>
      </w:r>
      <w:r w:rsidR="00B206BC">
        <w:t xml:space="preserve"> less likelihood i</w:t>
      </w:r>
      <w:r w:rsidR="00BE7975">
        <w:t>t i</w:t>
      </w:r>
      <w:r w:rsidR="00B206BC">
        <w:t xml:space="preserve">s that </w:t>
      </w:r>
      <w:r w:rsidR="00D7009B">
        <w:t>the</w:t>
      </w:r>
      <w:r w:rsidR="00B206BC">
        <w:t xml:space="preserve"> table </w:t>
      </w:r>
      <w:r w:rsidR="00D7009B">
        <w:t>will be</w:t>
      </w:r>
      <w:r w:rsidR="00B206BC">
        <w:t xml:space="preserve"> future proof </w:t>
      </w:r>
      <w:r w:rsidR="003452AA">
        <w:t>and can</w:t>
      </w:r>
      <w:r w:rsidR="00B206BC">
        <w:t xml:space="preserve"> </w:t>
      </w:r>
      <w:r w:rsidR="00C64FCB">
        <w:t>support</w:t>
      </w:r>
      <w:r w:rsidR="00D7009B">
        <w:t xml:space="preserve"> the</w:t>
      </w:r>
      <w:r w:rsidR="003452AA">
        <w:t xml:space="preserve"> evolution of</w:t>
      </w:r>
      <w:r w:rsidR="00C64FCB">
        <w:t xml:space="preserve"> XR</w:t>
      </w:r>
      <w:r w:rsidR="00A12434">
        <w:t xml:space="preserve"> traffic.</w:t>
      </w:r>
    </w:p>
    <w:p w14:paraId="56F00B55" w14:textId="43CE6B74" w:rsidR="00A12434" w:rsidRPr="004B76C1" w:rsidRDefault="00A12434" w:rsidP="004B76C1">
      <w:pPr>
        <w:pStyle w:val="Heading4"/>
        <w:rPr>
          <w:lang w:val="en-US"/>
        </w:rPr>
      </w:pPr>
      <w:r w:rsidRPr="004B76C1">
        <w:rPr>
          <w:lang w:val="en-US"/>
        </w:rPr>
        <w:t>Multipl</w:t>
      </w:r>
      <w:r w:rsidR="00341FCA" w:rsidRPr="004B76C1">
        <w:rPr>
          <w:lang w:val="en-US"/>
        </w:rPr>
        <w:t xml:space="preserve">e </w:t>
      </w:r>
      <w:r w:rsidR="00734636" w:rsidRPr="004B76C1">
        <w:rPr>
          <w:lang w:val="en-US"/>
        </w:rPr>
        <w:t>static tables</w:t>
      </w:r>
    </w:p>
    <w:p w14:paraId="191FF616" w14:textId="7A20584E" w:rsidR="00734636" w:rsidRDefault="00734636" w:rsidP="00E544BF">
      <w:pPr>
        <w:pStyle w:val="BodyText"/>
      </w:pPr>
      <w:r>
        <w:t xml:space="preserve">With multiple static </w:t>
      </w:r>
      <w:r w:rsidR="00C35359">
        <w:t>non</w:t>
      </w:r>
      <w:r w:rsidR="00D145B5">
        <w:t>-</w:t>
      </w:r>
      <w:r w:rsidR="00C35359">
        <w:t xml:space="preserve">overlapping </w:t>
      </w:r>
      <w:r>
        <w:t xml:space="preserve">tables </w:t>
      </w:r>
      <w:r w:rsidR="00360538">
        <w:t>it would be possible to cover</w:t>
      </w:r>
      <w:r w:rsidR="00C35359">
        <w:t xml:space="preserve"> a larger range</w:t>
      </w:r>
      <w:r w:rsidR="00D145B5">
        <w:t>.</w:t>
      </w:r>
      <w:r w:rsidR="00360538">
        <w:t xml:space="preserve"> </w:t>
      </w:r>
      <w:r w:rsidR="000056C9">
        <w:t xml:space="preserve">A step size of </w:t>
      </w:r>
      <w:r w:rsidR="00567310">
        <w:t xml:space="preserve">around </w:t>
      </w:r>
      <w:r w:rsidR="000056C9">
        <w:t>200</w:t>
      </w:r>
      <w:r w:rsidR="00D145B5">
        <w:t xml:space="preserve"> bytes</w:t>
      </w:r>
      <w:r w:rsidR="000056C9">
        <w:t xml:space="preserve"> would imply</w:t>
      </w:r>
      <w:r w:rsidR="006C1BCA">
        <w:t xml:space="preserve"> </w:t>
      </w:r>
      <w:r w:rsidR="003452AA">
        <w:t xml:space="preserve">the need for </w:t>
      </w:r>
      <w:r w:rsidR="00567310">
        <w:t>around 13</w:t>
      </w:r>
      <w:r w:rsidR="0094316A">
        <w:t xml:space="preserve"> tables to cover </w:t>
      </w:r>
      <w:r w:rsidR="00605724">
        <w:t xml:space="preserve">a similar </w:t>
      </w:r>
      <w:r w:rsidR="0094316A">
        <w:t xml:space="preserve">range as </w:t>
      </w:r>
      <w:r w:rsidR="003452AA">
        <w:t>the</w:t>
      </w:r>
      <w:r w:rsidR="00A034EB">
        <w:t xml:space="preserve"> </w:t>
      </w:r>
      <w:r w:rsidR="00B63F85">
        <w:t>Table</w:t>
      </w:r>
      <w:r w:rsidR="00C41557">
        <w:t>Q</w:t>
      </w:r>
      <w:r w:rsidR="009A444E">
        <w:t xml:space="preserve">. </w:t>
      </w:r>
      <w:r w:rsidR="009C7CB3">
        <w:t>In this case</w:t>
      </w:r>
      <w:r w:rsidR="00C35359">
        <w:t xml:space="preserve"> </w:t>
      </w:r>
      <w:r w:rsidR="00845E3F">
        <w:t>no</w:t>
      </w:r>
      <w:r w:rsidR="009C7CB3">
        <w:t xml:space="preserve"> single</w:t>
      </w:r>
      <w:r w:rsidR="00845E3F">
        <w:t xml:space="preserve"> table will be </w:t>
      </w:r>
      <w:r w:rsidR="007D30A8">
        <w:t>tailored for the traffic handled at</w:t>
      </w:r>
      <w:r w:rsidR="00A034EB">
        <w:t xml:space="preserve"> each</w:t>
      </w:r>
      <w:r w:rsidR="007D30A8">
        <w:t xml:space="preserve"> time and thus multiple tables need to </w:t>
      </w:r>
      <w:r w:rsidR="00A034EB">
        <w:t>be possible to be used for each service, i.e. configuration of multiple static tables for each UE to select from</w:t>
      </w:r>
      <w:r w:rsidR="00D0197E">
        <w:t xml:space="preserve">. This </w:t>
      </w:r>
      <w:r w:rsidR="002C4447">
        <w:t xml:space="preserve">implies that the UE should choose the best suitable table </w:t>
      </w:r>
      <w:r w:rsidR="00BE0CEC">
        <w:t xml:space="preserve">to report </w:t>
      </w:r>
      <w:r w:rsidR="009C7CB3">
        <w:t>the</w:t>
      </w:r>
      <w:r w:rsidR="00BE0CEC">
        <w:t xml:space="preserve"> buffer size</w:t>
      </w:r>
      <w:r w:rsidR="00E43D32">
        <w:t xml:space="preserve">. </w:t>
      </w:r>
      <w:r w:rsidR="00E83B30">
        <w:t xml:space="preserve">If the tables have non overlapping ranges such procedure can be </w:t>
      </w:r>
      <w:r w:rsidR="00D51719">
        <w:t xml:space="preserve">done </w:t>
      </w:r>
      <w:r w:rsidR="0094001F">
        <w:t>rather simple</w:t>
      </w:r>
      <w:r w:rsidR="00E83B30">
        <w:t xml:space="preserve"> by having the UE select from the </w:t>
      </w:r>
      <w:r w:rsidR="00FC404F">
        <w:t>available</w:t>
      </w:r>
      <w:r w:rsidR="00E83B30">
        <w:t xml:space="preserve"> tables the one </w:t>
      </w:r>
      <w:r w:rsidR="00FC404F">
        <w:t>with the range that</w:t>
      </w:r>
      <w:r w:rsidR="00E83B30">
        <w:t xml:space="preserve"> covers</w:t>
      </w:r>
      <w:r w:rsidR="00A35211">
        <w:t xml:space="preserve"> t</w:t>
      </w:r>
      <w:r w:rsidR="00BA3BFE">
        <w:t xml:space="preserve">he current buffer size. If none of the selected new tables cover the buffer </w:t>
      </w:r>
      <w:r w:rsidR="00FC404F">
        <w:t xml:space="preserve">size </w:t>
      </w:r>
      <w:r w:rsidR="00BA3BFE">
        <w:t xml:space="preserve">then </w:t>
      </w:r>
      <w:r w:rsidR="00825C88">
        <w:t xml:space="preserve">the </w:t>
      </w:r>
      <w:r w:rsidR="00BA3BFE">
        <w:t xml:space="preserve">legacy table is </w:t>
      </w:r>
      <w:r w:rsidR="00825C88">
        <w:t>used</w:t>
      </w:r>
      <w:r w:rsidR="00BA3BFE">
        <w:t xml:space="preserve"> (as has already been agreed in RAN2).</w:t>
      </w:r>
      <w:r w:rsidR="001E6288">
        <w:t xml:space="preserve"> Example of how such reporting </w:t>
      </w:r>
      <w:r w:rsidR="00873151">
        <w:t xml:space="preserve">formats </w:t>
      </w:r>
      <w:r w:rsidR="001E6288">
        <w:t xml:space="preserve">can be </w:t>
      </w:r>
      <w:r w:rsidR="003201E9">
        <w:t>constructed</w:t>
      </w:r>
      <w:r w:rsidR="001E6288">
        <w:t xml:space="preserve"> is shown in section 2.1.3.</w:t>
      </w:r>
    </w:p>
    <w:p w14:paraId="7103BF72" w14:textId="77777777" w:rsidR="004B4FDA" w:rsidRDefault="004B4FDA" w:rsidP="00E544BF">
      <w:pPr>
        <w:pStyle w:val="BodyText"/>
      </w:pPr>
    </w:p>
    <w:p w14:paraId="321AC5D9" w14:textId="721DC811" w:rsidR="004B4FDA" w:rsidRPr="00094C06" w:rsidRDefault="004B4FDA" w:rsidP="004B4FDA">
      <w:pPr>
        <w:pStyle w:val="Proposal"/>
        <w:rPr>
          <w:lang w:val="en-US"/>
        </w:rPr>
      </w:pPr>
      <w:bookmarkStart w:id="4" w:name="_Toc142603305"/>
      <w:r w:rsidRPr="004B4FDA">
        <w:rPr>
          <w:lang w:val="en-US"/>
        </w:rPr>
        <w:t xml:space="preserve">RAN2 to discuss the new BSR table considering that a small step size (down to 200 bytes) </w:t>
      </w:r>
      <w:r w:rsidR="00053379">
        <w:rPr>
          <w:lang w:val="en-US"/>
        </w:rPr>
        <w:t>improves</w:t>
      </w:r>
      <w:r w:rsidRPr="004B4FDA">
        <w:rPr>
          <w:lang w:val="en-US"/>
        </w:rPr>
        <w:t xml:space="preserve"> XR capacity</w:t>
      </w:r>
      <w:r w:rsidR="00E959A4">
        <w:rPr>
          <w:lang w:val="en-US"/>
        </w:rPr>
        <w:t>.</w:t>
      </w:r>
      <w:bookmarkEnd w:id="4"/>
    </w:p>
    <w:p w14:paraId="48E0592A" w14:textId="77777777" w:rsidR="00366C19" w:rsidRDefault="00366C19" w:rsidP="00366C19">
      <w:pPr>
        <w:pStyle w:val="BodyText"/>
      </w:pPr>
      <w:bookmarkStart w:id="5" w:name="_Toc142573384"/>
      <w:bookmarkStart w:id="6" w:name="_Toc142573393"/>
      <w:bookmarkEnd w:id="5"/>
      <w:bookmarkEnd w:id="6"/>
    </w:p>
    <w:p w14:paraId="79A20DD4" w14:textId="50CC7435" w:rsidR="00122CAF" w:rsidRPr="00611F8E" w:rsidRDefault="00C95063" w:rsidP="00292B2F">
      <w:pPr>
        <w:pStyle w:val="Heading3"/>
        <w:rPr>
          <w:lang w:val="en-US"/>
        </w:rPr>
      </w:pPr>
      <w:r w:rsidRPr="00611F8E">
        <w:rPr>
          <w:lang w:val="en-US"/>
        </w:rPr>
        <w:t>2.</w:t>
      </w:r>
      <w:r w:rsidR="0040785C" w:rsidRPr="00611F8E">
        <w:rPr>
          <w:lang w:val="en-US"/>
        </w:rPr>
        <w:t>1.</w:t>
      </w:r>
      <w:r w:rsidRPr="00611F8E">
        <w:rPr>
          <w:lang w:val="en-US"/>
        </w:rPr>
        <w:t>3</w:t>
      </w:r>
      <w:r w:rsidRPr="00611F8E">
        <w:rPr>
          <w:lang w:val="en-US"/>
        </w:rPr>
        <w:tab/>
      </w:r>
      <w:r w:rsidR="00FF4183" w:rsidRPr="00611F8E">
        <w:rPr>
          <w:lang w:val="en-US"/>
        </w:rPr>
        <w:t>BSR format</w:t>
      </w:r>
    </w:p>
    <w:p w14:paraId="29FA56C4" w14:textId="26B1ADAF" w:rsidR="00277D01" w:rsidRDefault="00BC1295" w:rsidP="009A274C">
      <w:pPr>
        <w:pStyle w:val="BodyText"/>
        <w:rPr>
          <w:lang w:val="en-US"/>
        </w:rPr>
      </w:pPr>
      <w:bookmarkStart w:id="7" w:name="_Toc134713259"/>
      <w:bookmarkStart w:id="8" w:name="_Toc134713360"/>
      <w:bookmarkStart w:id="9" w:name="_Toc134713409"/>
      <w:bookmarkStart w:id="10" w:name="_Toc134713763"/>
      <w:bookmarkEnd w:id="7"/>
      <w:bookmarkEnd w:id="8"/>
      <w:bookmarkEnd w:id="9"/>
      <w:bookmarkEnd w:id="10"/>
      <w:r w:rsidRPr="00BC1295">
        <w:rPr>
          <w:lang w:val="en-US"/>
        </w:rPr>
        <w:t>A</w:t>
      </w:r>
      <w:r w:rsidR="00D77210">
        <w:rPr>
          <w:lang w:val="en-US"/>
        </w:rPr>
        <w:t xml:space="preserve"> new </w:t>
      </w:r>
      <w:r w:rsidRPr="00BC1295">
        <w:rPr>
          <w:lang w:val="en-US"/>
        </w:rPr>
        <w:t>long BSR format s</w:t>
      </w:r>
      <w:r>
        <w:rPr>
          <w:lang w:val="en-US"/>
        </w:rPr>
        <w:t xml:space="preserve">hould </w:t>
      </w:r>
      <w:r w:rsidR="00663B64">
        <w:rPr>
          <w:lang w:val="en-US"/>
        </w:rPr>
        <w:t xml:space="preserve">continue reporting the buffer size for those LCGs which do have data in the buffer. </w:t>
      </w:r>
      <w:r w:rsidR="00542FD3">
        <w:rPr>
          <w:lang w:val="en-US"/>
        </w:rPr>
        <w:t xml:space="preserve">There are </w:t>
      </w:r>
      <w:r w:rsidR="00BA07E2">
        <w:rPr>
          <w:lang w:val="en-US"/>
        </w:rPr>
        <w:t xml:space="preserve">two </w:t>
      </w:r>
      <w:r w:rsidR="00542FD3">
        <w:rPr>
          <w:lang w:val="en-US"/>
        </w:rPr>
        <w:t>questions to resolve</w:t>
      </w:r>
      <w:r w:rsidR="00277D01">
        <w:rPr>
          <w:lang w:val="en-US"/>
        </w:rPr>
        <w:t xml:space="preserve">: </w:t>
      </w:r>
    </w:p>
    <w:p w14:paraId="05234AE9" w14:textId="0960CBE6" w:rsidR="00A4467B" w:rsidRDefault="00AD6327" w:rsidP="008A729F">
      <w:pPr>
        <w:pStyle w:val="BodyText"/>
        <w:numPr>
          <w:ilvl w:val="0"/>
          <w:numId w:val="15"/>
        </w:numPr>
        <w:rPr>
          <w:lang w:val="en-US"/>
        </w:rPr>
      </w:pPr>
      <w:r>
        <w:rPr>
          <w:lang w:val="en-US"/>
        </w:rPr>
        <w:t xml:space="preserve">Can </w:t>
      </w:r>
      <w:r w:rsidR="00BA07E2">
        <w:rPr>
          <w:lang w:val="en-US"/>
        </w:rPr>
        <w:t xml:space="preserve">two </w:t>
      </w:r>
      <w:r>
        <w:rPr>
          <w:lang w:val="en-US"/>
        </w:rPr>
        <w:t xml:space="preserve">BS tables be configured per each LCG? </w:t>
      </w:r>
      <w:r w:rsidR="00A4467B">
        <w:rPr>
          <w:lang w:val="en-US"/>
        </w:rPr>
        <w:t>And,</w:t>
      </w:r>
    </w:p>
    <w:p w14:paraId="79F4B534" w14:textId="7279F997" w:rsidR="00E10A08" w:rsidRDefault="00E10A08" w:rsidP="008A729F">
      <w:pPr>
        <w:pStyle w:val="BodyText"/>
        <w:numPr>
          <w:ilvl w:val="0"/>
          <w:numId w:val="15"/>
        </w:numPr>
        <w:rPr>
          <w:lang w:val="en-US"/>
        </w:rPr>
      </w:pPr>
      <w:r>
        <w:rPr>
          <w:lang w:val="en-US"/>
        </w:rPr>
        <w:t xml:space="preserve">How to </w:t>
      </w:r>
      <w:r w:rsidR="00C12B5A">
        <w:rPr>
          <w:lang w:val="en-US"/>
        </w:rPr>
        <w:t>indicate if the</w:t>
      </w:r>
      <w:r>
        <w:rPr>
          <w:lang w:val="en-US"/>
        </w:rPr>
        <w:t xml:space="preserve"> UE is using legacy BS table</w:t>
      </w:r>
      <w:r w:rsidR="00C12B5A">
        <w:rPr>
          <w:lang w:val="en-US"/>
        </w:rPr>
        <w:t xml:space="preserve"> or a new BS table</w:t>
      </w:r>
      <w:r w:rsidR="00600CBD">
        <w:rPr>
          <w:lang w:val="en-US"/>
        </w:rPr>
        <w:t>?</w:t>
      </w:r>
    </w:p>
    <w:p w14:paraId="293C838F" w14:textId="77777777" w:rsidR="00A4467B" w:rsidRDefault="00A4467B" w:rsidP="00A4467B">
      <w:pPr>
        <w:pStyle w:val="BodyText"/>
        <w:rPr>
          <w:lang w:val="en-US"/>
        </w:rPr>
      </w:pPr>
    </w:p>
    <w:p w14:paraId="6AFC1811" w14:textId="2CF3B165" w:rsidR="00904A32" w:rsidRDefault="002A0847" w:rsidP="00A4467B">
      <w:pPr>
        <w:pStyle w:val="BodyText"/>
        <w:rPr>
          <w:lang w:val="en-US"/>
        </w:rPr>
      </w:pPr>
      <w:r>
        <w:rPr>
          <w:lang w:val="en-US"/>
        </w:rPr>
        <w:t>A</w:t>
      </w:r>
      <w:r w:rsidR="00B225C0">
        <w:rPr>
          <w:lang w:val="en-US"/>
        </w:rPr>
        <w:t xml:space="preserve"> new additional </w:t>
      </w:r>
      <w:r w:rsidR="00646B55">
        <w:rPr>
          <w:lang w:val="en-US"/>
        </w:rPr>
        <w:t xml:space="preserve">bit </w:t>
      </w:r>
      <w:r w:rsidR="006A0D80">
        <w:rPr>
          <w:lang w:val="en-US"/>
        </w:rPr>
        <w:t>T</w:t>
      </w:r>
      <w:r w:rsidR="006A0D80">
        <w:rPr>
          <w:vertAlign w:val="subscript"/>
          <w:lang w:val="en-US"/>
        </w:rPr>
        <w:t>i</w:t>
      </w:r>
      <w:r w:rsidR="006A0D80">
        <w:rPr>
          <w:lang w:val="en-US"/>
        </w:rPr>
        <w:t xml:space="preserve"> </w:t>
      </w:r>
      <w:r w:rsidR="00B225C0">
        <w:rPr>
          <w:lang w:val="en-US"/>
        </w:rPr>
        <w:t>could be added</w:t>
      </w:r>
      <w:r>
        <w:rPr>
          <w:lang w:val="en-US"/>
        </w:rPr>
        <w:t xml:space="preserve"> per logical channel, </w:t>
      </w:r>
      <w:r w:rsidR="00646B55">
        <w:rPr>
          <w:lang w:val="en-US"/>
        </w:rPr>
        <w:t xml:space="preserve">in total one byte, </w:t>
      </w:r>
      <w:r>
        <w:rPr>
          <w:lang w:val="en-US"/>
        </w:rPr>
        <w:t>indicating whether the new or the legacy table is used</w:t>
      </w:r>
      <w:r w:rsidR="005E59D6">
        <w:rPr>
          <w:lang w:val="en-US"/>
        </w:rPr>
        <w:t>. Each bit would</w:t>
      </w:r>
      <w:r w:rsidR="00B225C0">
        <w:rPr>
          <w:lang w:val="en-US"/>
        </w:rPr>
        <w:t xml:space="preserve"> indicate whether </w:t>
      </w:r>
      <w:r w:rsidR="00EB045E">
        <w:rPr>
          <w:lang w:val="en-US"/>
        </w:rPr>
        <w:t>the legacy table is used or the new table is used</w:t>
      </w:r>
      <w:r w:rsidR="00785B87">
        <w:rPr>
          <w:lang w:val="en-US"/>
        </w:rPr>
        <w:t xml:space="preserve">, as shown in </w:t>
      </w:r>
      <w:r w:rsidR="00785B87">
        <w:rPr>
          <w:lang w:val="en-US"/>
        </w:rPr>
        <w:fldChar w:fldCharType="begin"/>
      </w:r>
      <w:r w:rsidR="00785B87">
        <w:rPr>
          <w:lang w:val="en-US"/>
        </w:rPr>
        <w:instrText xml:space="preserve"> REF _Ref134022730 \h </w:instrText>
      </w:r>
      <w:r w:rsidR="00785B87">
        <w:rPr>
          <w:lang w:val="en-US"/>
        </w:rPr>
      </w:r>
      <w:r w:rsidR="00785B87">
        <w:rPr>
          <w:lang w:val="en-US"/>
        </w:rPr>
        <w:fldChar w:fldCharType="separate"/>
      </w:r>
      <w:r w:rsidR="00EF5C41">
        <w:t xml:space="preserve">Figure </w:t>
      </w:r>
      <w:r w:rsidR="00EF5C41">
        <w:rPr>
          <w:noProof/>
        </w:rPr>
        <w:t>2</w:t>
      </w:r>
      <w:r w:rsidR="00785B87">
        <w:rPr>
          <w:lang w:val="en-US"/>
        </w:rPr>
        <w:fldChar w:fldCharType="end"/>
      </w:r>
      <w:r w:rsidR="00785B87">
        <w:rPr>
          <w:lang w:val="en-US"/>
        </w:rPr>
        <w:t xml:space="preserve">. </w:t>
      </w:r>
      <w:r w:rsidR="00390758">
        <w:rPr>
          <w:lang w:val="en-US"/>
        </w:rPr>
        <w:t xml:space="preserve">In this example, 2 LGCs would set the </w:t>
      </w:r>
      <w:r w:rsidR="006A0D80">
        <w:rPr>
          <w:lang w:val="en-US"/>
        </w:rPr>
        <w:t>T</w:t>
      </w:r>
      <w:r w:rsidR="00390758">
        <w:rPr>
          <w:lang w:val="en-US"/>
        </w:rPr>
        <w:t xml:space="preserve"> flag to “1”, while 1 LCG would set the </w:t>
      </w:r>
      <w:r w:rsidR="006A0D80">
        <w:rPr>
          <w:lang w:val="en-US"/>
        </w:rPr>
        <w:t>T</w:t>
      </w:r>
      <w:r w:rsidR="00390758">
        <w:rPr>
          <w:lang w:val="en-US"/>
        </w:rPr>
        <w:t xml:space="preserve"> flag to “0”</w:t>
      </w:r>
      <w:r w:rsidR="00576804">
        <w:rPr>
          <w:lang w:val="en-US"/>
        </w:rPr>
        <w:t xml:space="preserve"> to indicate it is using legacy table.</w:t>
      </w:r>
      <w:r w:rsidR="006A0D80">
        <w:rPr>
          <w:lang w:val="en-US"/>
        </w:rPr>
        <w:t xml:space="preserve"> In case it will be agreed to have several new tables the T</w:t>
      </w:r>
      <w:r w:rsidR="006A0D80">
        <w:rPr>
          <w:vertAlign w:val="subscript"/>
          <w:lang w:val="en-US"/>
        </w:rPr>
        <w:t>i</w:t>
      </w:r>
      <w:r w:rsidR="006A0D80">
        <w:rPr>
          <w:lang w:val="en-US"/>
        </w:rPr>
        <w:t xml:space="preserve"> field per </w:t>
      </w:r>
      <w:r w:rsidR="0074413E">
        <w:rPr>
          <w:lang w:val="en-US"/>
        </w:rPr>
        <w:t>LCG could consist of more than one bit.</w:t>
      </w:r>
    </w:p>
    <w:p w14:paraId="0BB8E930" w14:textId="77777777" w:rsidR="00785B87" w:rsidRDefault="00785B87" w:rsidP="00A4467B">
      <w:pPr>
        <w:pStyle w:val="BodyText"/>
        <w:rPr>
          <w:lang w:val="en-US"/>
        </w:rPr>
      </w:pPr>
    </w:p>
    <w:p w14:paraId="7B9DF451" w14:textId="45034C03" w:rsidR="00785B87" w:rsidRDefault="006A0D80" w:rsidP="00785B87">
      <w:pPr>
        <w:pStyle w:val="BodyText"/>
        <w:keepNext/>
        <w:jc w:val="center"/>
      </w:pPr>
      <w:r>
        <w:rPr>
          <w:noProof/>
        </w:rPr>
        <w:drawing>
          <wp:inline distT="0" distB="0" distL="0" distR="0" wp14:anchorId="0C705824" wp14:editId="0613A796">
            <wp:extent cx="2887582" cy="230949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0244" cy="2319622"/>
                    </a:xfrm>
                    <a:prstGeom prst="rect">
                      <a:avLst/>
                    </a:prstGeom>
                    <a:noFill/>
                  </pic:spPr>
                </pic:pic>
              </a:graphicData>
            </a:graphic>
          </wp:inline>
        </w:drawing>
      </w:r>
    </w:p>
    <w:p w14:paraId="76CB8CC7" w14:textId="3C36362B" w:rsidR="00785B87" w:rsidRPr="00BC1295" w:rsidRDefault="00785B87" w:rsidP="00785B87">
      <w:pPr>
        <w:pStyle w:val="Caption"/>
        <w:jc w:val="center"/>
        <w:rPr>
          <w:lang w:val="en-US"/>
        </w:rPr>
      </w:pPr>
      <w:bookmarkStart w:id="11" w:name="_Ref134022730"/>
      <w:r>
        <w:t xml:space="preserve">Figure </w:t>
      </w:r>
      <w:r w:rsidR="004826B5">
        <w:fldChar w:fldCharType="begin"/>
      </w:r>
      <w:r w:rsidR="004826B5">
        <w:instrText xml:space="preserve"> SEQ Figure \* ARABIC </w:instrText>
      </w:r>
      <w:r w:rsidR="004826B5">
        <w:fldChar w:fldCharType="separate"/>
      </w:r>
      <w:r w:rsidR="00EF5C41">
        <w:rPr>
          <w:noProof/>
        </w:rPr>
        <w:t>2</w:t>
      </w:r>
      <w:r w:rsidR="004826B5">
        <w:rPr>
          <w:noProof/>
        </w:rPr>
        <w:fldChar w:fldCharType="end"/>
      </w:r>
      <w:bookmarkEnd w:id="11"/>
      <w:r w:rsidR="00976E97">
        <w:rPr>
          <w:noProof/>
        </w:rPr>
        <w:t xml:space="preserve"> –</w:t>
      </w:r>
      <w:r w:rsidR="00F16C65">
        <w:t xml:space="preserve"> </w:t>
      </w:r>
      <w:r w:rsidR="00244345">
        <w:t>Example of new t</w:t>
      </w:r>
      <w:r w:rsidR="00F16C65">
        <w:t>able/BS format</w:t>
      </w:r>
    </w:p>
    <w:p w14:paraId="023E324A" w14:textId="7FF0B3B9" w:rsidR="002253DE" w:rsidRDefault="00FB21D3" w:rsidP="002253DE">
      <w:pPr>
        <w:pStyle w:val="BodyText"/>
        <w:rPr>
          <w:lang w:val="en-US"/>
        </w:rPr>
      </w:pPr>
      <w:r>
        <w:rPr>
          <w:lang w:val="en-US"/>
        </w:rPr>
        <w:lastRenderedPageBreak/>
        <w:t>Therefore a new BSR MAC CE should be created in TS38.321, where the difference from the legacy BSR MAC CE would be that one byte is added with the individual bits indicating if the correspondent LCG is using the legacy or the new BS table.</w:t>
      </w:r>
    </w:p>
    <w:p w14:paraId="4F787DFB" w14:textId="68BEAC6F" w:rsidR="00075550" w:rsidRPr="00094C06" w:rsidRDefault="00FB21D3" w:rsidP="0078028B">
      <w:pPr>
        <w:pStyle w:val="Proposal"/>
        <w:rPr>
          <w:lang w:val="en-US"/>
        </w:rPr>
      </w:pPr>
      <w:bookmarkStart w:id="12" w:name="_Toc138767622"/>
      <w:bookmarkStart w:id="13" w:name="_Toc138767689"/>
      <w:bookmarkStart w:id="14" w:name="_Toc138767756"/>
      <w:bookmarkStart w:id="15" w:name="_Toc142591097"/>
      <w:bookmarkStart w:id="16" w:name="_Toc142603102"/>
      <w:bookmarkStart w:id="17" w:name="_Toc142603170"/>
      <w:bookmarkStart w:id="18" w:name="_Toc142603238"/>
      <w:bookmarkStart w:id="19" w:name="_Toc142603306"/>
      <w:bookmarkStart w:id="20" w:name="_Toc138767623"/>
      <w:bookmarkStart w:id="21" w:name="_Toc138767690"/>
      <w:bookmarkStart w:id="22" w:name="_Toc138767757"/>
      <w:bookmarkStart w:id="23" w:name="_Toc142591098"/>
      <w:bookmarkStart w:id="24" w:name="_Toc142603103"/>
      <w:bookmarkStart w:id="25" w:name="_Toc142603171"/>
      <w:bookmarkStart w:id="26" w:name="_Toc142603239"/>
      <w:bookmarkStart w:id="27" w:name="_Toc142603307"/>
      <w:bookmarkStart w:id="28" w:name="_Toc138767624"/>
      <w:bookmarkStart w:id="29" w:name="_Toc138767691"/>
      <w:bookmarkStart w:id="30" w:name="_Toc138767758"/>
      <w:bookmarkStart w:id="31" w:name="_Toc142591099"/>
      <w:bookmarkStart w:id="32" w:name="_Toc142603104"/>
      <w:bookmarkStart w:id="33" w:name="_Toc142603172"/>
      <w:bookmarkStart w:id="34" w:name="_Toc142603240"/>
      <w:bookmarkStart w:id="35" w:name="_Toc142603308"/>
      <w:bookmarkStart w:id="36" w:name="_Toc138767625"/>
      <w:bookmarkStart w:id="37" w:name="_Toc138767692"/>
      <w:bookmarkStart w:id="38" w:name="_Toc138767759"/>
      <w:bookmarkStart w:id="39" w:name="_Toc142591100"/>
      <w:bookmarkStart w:id="40" w:name="_Toc142603105"/>
      <w:bookmarkStart w:id="41" w:name="_Toc142603173"/>
      <w:bookmarkStart w:id="42" w:name="_Toc142603241"/>
      <w:bookmarkStart w:id="43" w:name="_Toc142603309"/>
      <w:bookmarkStart w:id="44" w:name="_Toc138767626"/>
      <w:bookmarkStart w:id="45" w:name="_Toc138767693"/>
      <w:bookmarkStart w:id="46" w:name="_Toc138767760"/>
      <w:bookmarkStart w:id="47" w:name="_Toc142591101"/>
      <w:bookmarkStart w:id="48" w:name="_Toc142603106"/>
      <w:bookmarkStart w:id="49" w:name="_Toc142603174"/>
      <w:bookmarkStart w:id="50" w:name="_Toc142603242"/>
      <w:bookmarkStart w:id="51" w:name="_Toc142603310"/>
      <w:bookmarkStart w:id="52" w:name="_Toc138767627"/>
      <w:bookmarkStart w:id="53" w:name="_Toc138767694"/>
      <w:bookmarkStart w:id="54" w:name="_Toc138767761"/>
      <w:bookmarkStart w:id="55" w:name="_Toc142591102"/>
      <w:bookmarkStart w:id="56" w:name="_Toc142603107"/>
      <w:bookmarkStart w:id="57" w:name="_Toc142603175"/>
      <w:bookmarkStart w:id="58" w:name="_Toc142603243"/>
      <w:bookmarkStart w:id="59" w:name="_Toc142603311"/>
      <w:bookmarkStart w:id="60" w:name="_Toc138767628"/>
      <w:bookmarkStart w:id="61" w:name="_Toc138767695"/>
      <w:bookmarkStart w:id="62" w:name="_Toc138767762"/>
      <w:bookmarkStart w:id="63" w:name="_Toc142591103"/>
      <w:bookmarkStart w:id="64" w:name="_Toc142603108"/>
      <w:bookmarkStart w:id="65" w:name="_Toc142603176"/>
      <w:bookmarkStart w:id="66" w:name="_Toc142603244"/>
      <w:bookmarkStart w:id="67" w:name="_Toc142603312"/>
      <w:bookmarkStart w:id="68" w:name="_Toc138767629"/>
      <w:bookmarkStart w:id="69" w:name="_Toc138767696"/>
      <w:bookmarkStart w:id="70" w:name="_Toc138767763"/>
      <w:bookmarkStart w:id="71" w:name="_Toc142591104"/>
      <w:bookmarkStart w:id="72" w:name="_Toc142603109"/>
      <w:bookmarkStart w:id="73" w:name="_Toc142603177"/>
      <w:bookmarkStart w:id="74" w:name="_Toc142603245"/>
      <w:bookmarkStart w:id="75" w:name="_Toc142603313"/>
      <w:bookmarkStart w:id="76" w:name="_Toc138767630"/>
      <w:bookmarkStart w:id="77" w:name="_Toc138767697"/>
      <w:bookmarkStart w:id="78" w:name="_Toc138767764"/>
      <w:bookmarkStart w:id="79" w:name="_Toc142591105"/>
      <w:bookmarkStart w:id="80" w:name="_Toc142603110"/>
      <w:bookmarkStart w:id="81" w:name="_Toc142603178"/>
      <w:bookmarkStart w:id="82" w:name="_Toc142603246"/>
      <w:bookmarkStart w:id="83" w:name="_Toc142603314"/>
      <w:bookmarkStart w:id="84" w:name="_Toc138767631"/>
      <w:bookmarkStart w:id="85" w:name="_Toc138767698"/>
      <w:bookmarkStart w:id="86" w:name="_Toc138767765"/>
      <w:bookmarkStart w:id="87" w:name="_Toc142591106"/>
      <w:bookmarkStart w:id="88" w:name="_Toc142603111"/>
      <w:bookmarkStart w:id="89" w:name="_Toc142603179"/>
      <w:bookmarkStart w:id="90" w:name="_Toc142603247"/>
      <w:bookmarkStart w:id="91" w:name="_Toc142603315"/>
      <w:bookmarkStart w:id="92" w:name="_Toc138767632"/>
      <w:bookmarkStart w:id="93" w:name="_Toc138767699"/>
      <w:bookmarkStart w:id="94" w:name="_Toc138767766"/>
      <w:bookmarkStart w:id="95" w:name="_Toc142591107"/>
      <w:bookmarkStart w:id="96" w:name="_Toc142603112"/>
      <w:bookmarkStart w:id="97" w:name="_Toc142603180"/>
      <w:bookmarkStart w:id="98" w:name="_Toc142603248"/>
      <w:bookmarkStart w:id="99" w:name="_Toc142603316"/>
      <w:bookmarkStart w:id="100" w:name="_Toc138767633"/>
      <w:bookmarkStart w:id="101" w:name="_Toc138767700"/>
      <w:bookmarkStart w:id="102" w:name="_Toc138767767"/>
      <w:bookmarkStart w:id="103" w:name="_Toc142591108"/>
      <w:bookmarkStart w:id="104" w:name="_Toc142603113"/>
      <w:bookmarkStart w:id="105" w:name="_Toc142603181"/>
      <w:bookmarkStart w:id="106" w:name="_Toc142603249"/>
      <w:bookmarkStart w:id="107" w:name="_Toc142603317"/>
      <w:bookmarkStart w:id="108" w:name="_Toc138767634"/>
      <w:bookmarkStart w:id="109" w:name="_Toc138767701"/>
      <w:bookmarkStart w:id="110" w:name="_Toc138767768"/>
      <w:bookmarkStart w:id="111" w:name="_Toc142591109"/>
      <w:bookmarkStart w:id="112" w:name="_Toc142603114"/>
      <w:bookmarkStart w:id="113" w:name="_Toc142603182"/>
      <w:bookmarkStart w:id="114" w:name="_Toc142603250"/>
      <w:bookmarkStart w:id="115" w:name="_Toc142603318"/>
      <w:bookmarkStart w:id="116" w:name="_Toc138767635"/>
      <w:bookmarkStart w:id="117" w:name="_Toc138767702"/>
      <w:bookmarkStart w:id="118" w:name="_Toc138767769"/>
      <w:bookmarkStart w:id="119" w:name="_Toc142591110"/>
      <w:bookmarkStart w:id="120" w:name="_Toc142603115"/>
      <w:bookmarkStart w:id="121" w:name="_Toc142603183"/>
      <w:bookmarkStart w:id="122" w:name="_Toc142603251"/>
      <w:bookmarkStart w:id="123" w:name="_Toc142603319"/>
      <w:bookmarkStart w:id="124" w:name="_Toc138767636"/>
      <w:bookmarkStart w:id="125" w:name="_Toc138767703"/>
      <w:bookmarkStart w:id="126" w:name="_Toc138767770"/>
      <w:bookmarkStart w:id="127" w:name="_Toc142591111"/>
      <w:bookmarkStart w:id="128" w:name="_Toc142603116"/>
      <w:bookmarkStart w:id="129" w:name="_Toc142603184"/>
      <w:bookmarkStart w:id="130" w:name="_Toc142603252"/>
      <w:bookmarkStart w:id="131" w:name="_Toc142603320"/>
      <w:bookmarkStart w:id="132" w:name="_Toc138767637"/>
      <w:bookmarkStart w:id="133" w:name="_Toc138767704"/>
      <w:bookmarkStart w:id="134" w:name="_Toc138767771"/>
      <w:bookmarkStart w:id="135" w:name="_Toc142591112"/>
      <w:bookmarkStart w:id="136" w:name="_Toc142603117"/>
      <w:bookmarkStart w:id="137" w:name="_Toc142603185"/>
      <w:bookmarkStart w:id="138" w:name="_Toc142603253"/>
      <w:bookmarkStart w:id="139" w:name="_Toc142603321"/>
      <w:bookmarkStart w:id="140" w:name="_Toc138767638"/>
      <w:bookmarkStart w:id="141" w:name="_Toc138767705"/>
      <w:bookmarkStart w:id="142" w:name="_Toc138767772"/>
      <w:bookmarkStart w:id="143" w:name="_Toc142591113"/>
      <w:bookmarkStart w:id="144" w:name="_Toc142603118"/>
      <w:bookmarkStart w:id="145" w:name="_Toc142603186"/>
      <w:bookmarkStart w:id="146" w:name="_Toc142603254"/>
      <w:bookmarkStart w:id="147" w:name="_Toc142603322"/>
      <w:bookmarkStart w:id="148" w:name="_Toc138767639"/>
      <w:bookmarkStart w:id="149" w:name="_Toc138767706"/>
      <w:bookmarkStart w:id="150" w:name="_Toc138767773"/>
      <w:bookmarkStart w:id="151" w:name="_Toc142591114"/>
      <w:bookmarkStart w:id="152" w:name="_Toc142603119"/>
      <w:bookmarkStart w:id="153" w:name="_Toc142603187"/>
      <w:bookmarkStart w:id="154" w:name="_Toc142603255"/>
      <w:bookmarkStart w:id="155" w:name="_Toc142603323"/>
      <w:bookmarkStart w:id="156" w:name="_Toc138767640"/>
      <w:bookmarkStart w:id="157" w:name="_Toc138767707"/>
      <w:bookmarkStart w:id="158" w:name="_Toc138767774"/>
      <w:bookmarkStart w:id="159" w:name="_Toc142591115"/>
      <w:bookmarkStart w:id="160" w:name="_Toc142603120"/>
      <w:bookmarkStart w:id="161" w:name="_Toc142603188"/>
      <w:bookmarkStart w:id="162" w:name="_Toc142603256"/>
      <w:bookmarkStart w:id="163" w:name="_Toc142603324"/>
      <w:bookmarkStart w:id="164" w:name="_Toc138767664"/>
      <w:bookmarkStart w:id="165" w:name="_Toc138767731"/>
      <w:bookmarkStart w:id="166" w:name="_Toc138767798"/>
      <w:bookmarkStart w:id="167" w:name="_Toc142591139"/>
      <w:bookmarkStart w:id="168" w:name="_Toc142603144"/>
      <w:bookmarkStart w:id="169" w:name="_Toc142603212"/>
      <w:bookmarkStart w:id="170" w:name="_Toc142603280"/>
      <w:bookmarkStart w:id="171" w:name="_Toc142603348"/>
      <w:bookmarkStart w:id="172" w:name="_Toc138767665"/>
      <w:bookmarkStart w:id="173" w:name="_Toc138767732"/>
      <w:bookmarkStart w:id="174" w:name="_Toc138767799"/>
      <w:bookmarkStart w:id="175" w:name="_Toc142591140"/>
      <w:bookmarkStart w:id="176" w:name="_Toc142603145"/>
      <w:bookmarkStart w:id="177" w:name="_Toc142603213"/>
      <w:bookmarkStart w:id="178" w:name="_Toc142603281"/>
      <w:bookmarkStart w:id="179" w:name="_Toc142603349"/>
      <w:bookmarkStart w:id="180" w:name="_Toc138767666"/>
      <w:bookmarkStart w:id="181" w:name="_Toc138767733"/>
      <w:bookmarkStart w:id="182" w:name="_Toc138767800"/>
      <w:bookmarkStart w:id="183" w:name="_Toc142591141"/>
      <w:bookmarkStart w:id="184" w:name="_Toc142603146"/>
      <w:bookmarkStart w:id="185" w:name="_Toc142603214"/>
      <w:bookmarkStart w:id="186" w:name="_Toc142603282"/>
      <w:bookmarkStart w:id="187" w:name="_Toc142603350"/>
      <w:bookmarkStart w:id="188" w:name="_Toc138767667"/>
      <w:bookmarkStart w:id="189" w:name="_Toc138767734"/>
      <w:bookmarkStart w:id="190" w:name="_Toc138767801"/>
      <w:bookmarkStart w:id="191" w:name="_Toc142591142"/>
      <w:bookmarkStart w:id="192" w:name="_Toc142603147"/>
      <w:bookmarkStart w:id="193" w:name="_Toc142603215"/>
      <w:bookmarkStart w:id="194" w:name="_Toc142603283"/>
      <w:bookmarkStart w:id="195" w:name="_Toc142603351"/>
      <w:bookmarkStart w:id="196" w:name="_Ref134190312"/>
      <w:bookmarkStart w:id="197" w:name="_Toc14260335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lang w:val="en-US"/>
        </w:rPr>
        <w:t>Create a new BSR MAC CE based on the legacy BSR MAC CE, with one extra byte, where the individual bits are indicating whether the correspondent LCG</w:t>
      </w:r>
      <w:r w:rsidR="007478BF">
        <w:t xml:space="preserve"> </w:t>
      </w:r>
      <w:r>
        <w:t xml:space="preserve">is using the legacy or the new BS table, as shown in example </w:t>
      </w:r>
      <w:r w:rsidR="007478BF">
        <w:t xml:space="preserve">in </w:t>
      </w:r>
      <w:r w:rsidR="00976450">
        <w:fldChar w:fldCharType="begin"/>
      </w:r>
      <w:r w:rsidR="00976450">
        <w:instrText xml:space="preserve"> REF _Ref134455149 \h </w:instrText>
      </w:r>
      <w:r w:rsidR="00976450">
        <w:fldChar w:fldCharType="end"/>
      </w:r>
      <w:r w:rsidR="00976450">
        <w:fldChar w:fldCharType="begin"/>
      </w:r>
      <w:r w:rsidR="00976450">
        <w:instrText xml:space="preserve"> REF _Ref134022730 \h </w:instrText>
      </w:r>
      <w:r w:rsidR="00976450">
        <w:fldChar w:fldCharType="separate"/>
      </w:r>
      <w:r w:rsidR="00EF5C41">
        <w:t xml:space="preserve">Figure </w:t>
      </w:r>
      <w:r w:rsidR="00EF5C41">
        <w:rPr>
          <w:noProof/>
        </w:rPr>
        <w:t>2</w:t>
      </w:r>
      <w:r w:rsidR="00976450">
        <w:fldChar w:fldCharType="end"/>
      </w:r>
      <w:r w:rsidR="00D5002F">
        <w:t>.</w:t>
      </w:r>
      <w:bookmarkEnd w:id="196"/>
      <w:r w:rsidR="00D5002F">
        <w:t xml:space="preserve"> </w:t>
      </w:r>
      <w:bookmarkEnd w:id="197"/>
    </w:p>
    <w:p w14:paraId="00868010" w14:textId="74E88907" w:rsidR="00E65DD7" w:rsidRDefault="00C95063" w:rsidP="00292B2F">
      <w:pPr>
        <w:pStyle w:val="Heading3"/>
        <w:rPr>
          <w:lang w:val="en-US"/>
        </w:rPr>
      </w:pPr>
      <w:r>
        <w:rPr>
          <w:lang w:val="en-US"/>
        </w:rPr>
        <w:t>2.</w:t>
      </w:r>
      <w:r w:rsidR="0040785C">
        <w:rPr>
          <w:lang w:val="en-US"/>
        </w:rPr>
        <w:t>1.</w:t>
      </w:r>
      <w:r>
        <w:rPr>
          <w:lang w:val="en-US"/>
        </w:rPr>
        <w:t>4</w:t>
      </w:r>
      <w:r>
        <w:rPr>
          <w:lang w:val="en-US"/>
        </w:rPr>
        <w:tab/>
      </w:r>
      <w:r w:rsidR="00E65DD7">
        <w:rPr>
          <w:lang w:val="en-US"/>
        </w:rPr>
        <w:t>BSR operation</w:t>
      </w:r>
      <w:r w:rsidR="0040785C">
        <w:rPr>
          <w:lang w:val="en-US"/>
        </w:rPr>
        <w:t xml:space="preserve"> and triggers</w:t>
      </w:r>
    </w:p>
    <w:p w14:paraId="5C2FAEAA" w14:textId="60E2C54D" w:rsidR="002D1248" w:rsidRDefault="00E65DD7" w:rsidP="00E65DD7">
      <w:pPr>
        <w:pStyle w:val="BodyText"/>
        <w:rPr>
          <w:lang w:val="en-US"/>
        </w:rPr>
      </w:pPr>
      <w:r>
        <w:rPr>
          <w:lang w:val="en-US"/>
        </w:rPr>
        <w:t>When the BSR is triggered</w:t>
      </w:r>
      <w:r w:rsidR="007D24DB">
        <w:rPr>
          <w:lang w:val="en-US"/>
        </w:rPr>
        <w:t xml:space="preserve"> and the UE calculates the total buffer size of the LCG, </w:t>
      </w:r>
      <w:r w:rsidR="00970C7C">
        <w:rPr>
          <w:lang w:val="en-US"/>
        </w:rPr>
        <w:t xml:space="preserve">there may be the cases </w:t>
      </w:r>
      <w:r w:rsidR="002B7A34">
        <w:rPr>
          <w:lang w:val="en-US"/>
        </w:rPr>
        <w:t>where both the legacy and the new</w:t>
      </w:r>
      <w:r w:rsidR="00970C7C">
        <w:rPr>
          <w:lang w:val="en-US"/>
        </w:rPr>
        <w:t xml:space="preserve"> table contains an index which can represent the UE buffer size. </w:t>
      </w:r>
      <w:r w:rsidR="007251AF">
        <w:rPr>
          <w:lang w:val="en-US"/>
        </w:rPr>
        <w:t>In those cases the legacy table should be used</w:t>
      </w:r>
      <w:r w:rsidR="00DB0AAD">
        <w:rPr>
          <w:lang w:val="en-US"/>
        </w:rPr>
        <w:t xml:space="preserve">. </w:t>
      </w:r>
    </w:p>
    <w:p w14:paraId="46AE4613" w14:textId="5494BF9C" w:rsidR="00901E04" w:rsidRDefault="00DB0AAD" w:rsidP="00E65DD7">
      <w:pPr>
        <w:pStyle w:val="BodyText"/>
        <w:rPr>
          <w:lang w:val="en-US"/>
        </w:rPr>
      </w:pPr>
      <w:r>
        <w:rPr>
          <w:lang w:val="en-US"/>
        </w:rPr>
        <w:t xml:space="preserve">When the buffer </w:t>
      </w:r>
      <w:r w:rsidR="00225565">
        <w:rPr>
          <w:lang w:val="en-US"/>
        </w:rPr>
        <w:t>size value</w:t>
      </w:r>
      <w:r>
        <w:rPr>
          <w:lang w:val="en-US"/>
        </w:rPr>
        <w:t xml:space="preserve"> </w:t>
      </w:r>
      <w:r w:rsidR="00865C01">
        <w:rPr>
          <w:lang w:val="en-US"/>
        </w:rPr>
        <w:t xml:space="preserve">is outside the range </w:t>
      </w:r>
      <w:r w:rsidR="00244703">
        <w:rPr>
          <w:lang w:val="en-US"/>
        </w:rPr>
        <w:t xml:space="preserve">covered in the </w:t>
      </w:r>
      <w:r w:rsidR="007251AF">
        <w:rPr>
          <w:lang w:val="en-US"/>
        </w:rPr>
        <w:t>new</w:t>
      </w:r>
      <w:r w:rsidR="002B7A34">
        <w:rPr>
          <w:lang w:val="en-US"/>
        </w:rPr>
        <w:t xml:space="preserve"> </w:t>
      </w:r>
      <w:r w:rsidR="00244703">
        <w:rPr>
          <w:lang w:val="en-US"/>
        </w:rPr>
        <w:t>table</w:t>
      </w:r>
      <w:r w:rsidR="007251AF">
        <w:rPr>
          <w:lang w:val="en-US"/>
        </w:rPr>
        <w:t>,</w:t>
      </w:r>
      <w:r w:rsidR="002D1248">
        <w:rPr>
          <w:lang w:val="en-US"/>
        </w:rPr>
        <w:t xml:space="preserve"> i.e. when only </w:t>
      </w:r>
      <w:r w:rsidR="002B7A34">
        <w:rPr>
          <w:lang w:val="en-US"/>
        </w:rPr>
        <w:t xml:space="preserve">legacy </w:t>
      </w:r>
      <w:r w:rsidR="002D1248">
        <w:rPr>
          <w:lang w:val="en-US"/>
        </w:rPr>
        <w:t>table contains an index which can represent the UE buffer size</w:t>
      </w:r>
      <w:r w:rsidR="00244703">
        <w:rPr>
          <w:lang w:val="en-US"/>
        </w:rPr>
        <w:t xml:space="preserve">, the UE shall then use the </w:t>
      </w:r>
      <w:r w:rsidR="007251AF">
        <w:rPr>
          <w:lang w:val="en-US"/>
        </w:rPr>
        <w:t xml:space="preserve">legacy </w:t>
      </w:r>
      <w:r w:rsidR="00901E04">
        <w:rPr>
          <w:lang w:val="en-US"/>
        </w:rPr>
        <w:t xml:space="preserve">BS table and formats. </w:t>
      </w:r>
    </w:p>
    <w:p w14:paraId="27BD5FD5" w14:textId="77777777" w:rsidR="00901E04" w:rsidRDefault="00901E04" w:rsidP="00E65DD7">
      <w:pPr>
        <w:pStyle w:val="BodyText"/>
        <w:rPr>
          <w:lang w:val="en-US"/>
        </w:rPr>
      </w:pPr>
    </w:p>
    <w:p w14:paraId="6A887BBA" w14:textId="6FD9868E" w:rsidR="00225565" w:rsidRPr="00E3362C" w:rsidRDefault="00F91EE6">
      <w:pPr>
        <w:pStyle w:val="Proposal"/>
        <w:rPr>
          <w:lang w:val="en-US"/>
        </w:rPr>
      </w:pPr>
      <w:bookmarkStart w:id="198" w:name="_Toc142603353"/>
      <w:r w:rsidRPr="00E3362C">
        <w:rPr>
          <w:lang w:val="en-US"/>
        </w:rPr>
        <w:t xml:space="preserve">When </w:t>
      </w:r>
      <w:r w:rsidR="00086A3D">
        <w:rPr>
          <w:lang w:val="en-US"/>
        </w:rPr>
        <w:t>both the legacy and the new</w:t>
      </w:r>
      <w:r w:rsidR="00086A3D" w:rsidRPr="00E3362C">
        <w:rPr>
          <w:lang w:val="en-US"/>
        </w:rPr>
        <w:t xml:space="preserve"> </w:t>
      </w:r>
      <w:r w:rsidR="00260EAF">
        <w:rPr>
          <w:lang w:val="en-US"/>
        </w:rPr>
        <w:t xml:space="preserve">BS </w:t>
      </w:r>
      <w:r w:rsidRPr="00E3362C">
        <w:rPr>
          <w:lang w:val="en-US"/>
        </w:rPr>
        <w:t>table contain an index which can represent the UE buffer size</w:t>
      </w:r>
      <w:r w:rsidR="00E3362C" w:rsidRPr="00E3362C">
        <w:rPr>
          <w:lang w:val="en-US"/>
        </w:rPr>
        <w:t xml:space="preserve">, the </w:t>
      </w:r>
      <w:r w:rsidR="00225565" w:rsidRPr="00E3362C">
        <w:rPr>
          <w:lang w:val="en-US"/>
        </w:rPr>
        <w:t>UE</w:t>
      </w:r>
      <w:r w:rsidR="00E3362C">
        <w:rPr>
          <w:lang w:val="en-US"/>
        </w:rPr>
        <w:t xml:space="preserve"> </w:t>
      </w:r>
      <w:r w:rsidR="00225565" w:rsidRPr="00E3362C">
        <w:rPr>
          <w:lang w:val="en-US"/>
        </w:rPr>
        <w:t xml:space="preserve">shall use the </w:t>
      </w:r>
      <w:r w:rsidR="00260EAF">
        <w:rPr>
          <w:lang w:val="en-US"/>
        </w:rPr>
        <w:t>new BS table</w:t>
      </w:r>
      <w:r w:rsidR="00A40203">
        <w:rPr>
          <w:lang w:val="en-US"/>
        </w:rPr>
        <w:t xml:space="preserve"> and format</w:t>
      </w:r>
      <w:r w:rsidR="00E3362C">
        <w:rPr>
          <w:lang w:val="en-US"/>
        </w:rPr>
        <w:t>.</w:t>
      </w:r>
      <w:bookmarkEnd w:id="198"/>
    </w:p>
    <w:p w14:paraId="4D41B067" w14:textId="261F653F" w:rsidR="00225565" w:rsidRPr="00E65DD7" w:rsidRDefault="00E3362C" w:rsidP="00225565">
      <w:pPr>
        <w:pStyle w:val="Proposal"/>
        <w:rPr>
          <w:lang w:val="en-US"/>
        </w:rPr>
      </w:pPr>
      <w:bookmarkStart w:id="199" w:name="_Toc142603354"/>
      <w:r>
        <w:rPr>
          <w:lang w:val="en-US"/>
        </w:rPr>
        <w:t xml:space="preserve">When only one table </w:t>
      </w:r>
      <w:r w:rsidR="00C34D66">
        <w:rPr>
          <w:lang w:val="en-US"/>
        </w:rPr>
        <w:t>(</w:t>
      </w:r>
      <w:r w:rsidR="00086A3D">
        <w:rPr>
          <w:lang w:val="en-US"/>
        </w:rPr>
        <w:t xml:space="preserve">i.e. the </w:t>
      </w:r>
      <w:r w:rsidR="00C34D66">
        <w:rPr>
          <w:lang w:val="en-US"/>
        </w:rPr>
        <w:t xml:space="preserve">legacy BS table) </w:t>
      </w:r>
      <w:r>
        <w:rPr>
          <w:lang w:val="en-US"/>
        </w:rPr>
        <w:t xml:space="preserve">contains </w:t>
      </w:r>
      <w:r w:rsidR="003C1CF4">
        <w:rPr>
          <w:lang w:val="en-US"/>
        </w:rPr>
        <w:t xml:space="preserve">an </w:t>
      </w:r>
      <w:r w:rsidR="00C145CE">
        <w:rPr>
          <w:lang w:val="en-US"/>
        </w:rPr>
        <w:t xml:space="preserve">index which represents the UE buffer size, the UE shall use the </w:t>
      </w:r>
      <w:r w:rsidR="00086A3D">
        <w:rPr>
          <w:lang w:val="en-US"/>
        </w:rPr>
        <w:t xml:space="preserve">legacy </w:t>
      </w:r>
      <w:r w:rsidR="00C145CE">
        <w:rPr>
          <w:lang w:val="en-US"/>
        </w:rPr>
        <w:t>BS table and format.</w:t>
      </w:r>
      <w:bookmarkEnd w:id="199"/>
    </w:p>
    <w:p w14:paraId="1E99B511" w14:textId="77777777" w:rsidR="003D659F" w:rsidRDefault="003D659F" w:rsidP="0072339A">
      <w:pPr>
        <w:pStyle w:val="BodyText"/>
        <w:rPr>
          <w:lang w:val="en-US"/>
        </w:rPr>
      </w:pPr>
    </w:p>
    <w:p w14:paraId="7EC54649" w14:textId="55036200" w:rsidR="0072339A" w:rsidRPr="00B769A2" w:rsidRDefault="0072339A" w:rsidP="0072339A">
      <w:pPr>
        <w:pStyle w:val="BodyText"/>
        <w:rPr>
          <w:lang w:val="en-US"/>
        </w:rPr>
      </w:pPr>
      <w:r>
        <w:rPr>
          <w:lang w:val="en-US"/>
        </w:rPr>
        <w:t xml:space="preserve">Legacy BSR triggering are considered suitable to meet the QoS requirements. However, it can be investigated if other triggers show additional benefits. On the other hand, XR traffic with </w:t>
      </w:r>
      <w:r w:rsidR="000C1FFE">
        <w:rPr>
          <w:lang w:val="en-US"/>
        </w:rPr>
        <w:t xml:space="preserve">long </w:t>
      </w:r>
      <w:r>
        <w:rPr>
          <w:lang w:val="en-US"/>
        </w:rPr>
        <w:t>periodicity of data may still benefit from frequent BSR transmissions but this can be accommodated by configuration of frequent periodic BSR.</w:t>
      </w:r>
      <w:r w:rsidDel="007403F5">
        <w:rPr>
          <w:lang w:val="en-US"/>
        </w:rPr>
        <w:t xml:space="preserve"> </w:t>
      </w:r>
      <w:r>
        <w:rPr>
          <w:lang w:val="en-US"/>
        </w:rPr>
        <w:t xml:space="preserve">These aspects need to be considered if new triggers are suggested. </w:t>
      </w:r>
    </w:p>
    <w:p w14:paraId="7126574D" w14:textId="2F054C38" w:rsidR="0072339A" w:rsidRPr="008043DD" w:rsidRDefault="0072339A" w:rsidP="0072339A">
      <w:pPr>
        <w:pStyle w:val="Proposal"/>
        <w:tabs>
          <w:tab w:val="clear" w:pos="3554"/>
          <w:tab w:val="num" w:pos="3686"/>
        </w:tabs>
        <w:ind w:left="1276"/>
        <w:rPr>
          <w:rFonts w:cs="Arial"/>
        </w:rPr>
      </w:pPr>
      <w:bookmarkStart w:id="200" w:name="_Toc142603355"/>
      <w:r>
        <w:rPr>
          <w:rFonts w:cs="Arial"/>
        </w:rPr>
        <w:t xml:space="preserve">Current BSR triggering conditions are the baseline conditions for </w:t>
      </w:r>
      <w:r w:rsidR="00760BDF">
        <w:rPr>
          <w:rFonts w:cs="Arial"/>
        </w:rPr>
        <w:t>the</w:t>
      </w:r>
      <w:r>
        <w:rPr>
          <w:rFonts w:cs="Arial"/>
        </w:rPr>
        <w:t xml:space="preserve"> new BSR</w:t>
      </w:r>
      <w:r w:rsidR="003F4B71">
        <w:rPr>
          <w:rFonts w:cs="Arial"/>
        </w:rPr>
        <w:t xml:space="preserve"> </w:t>
      </w:r>
      <w:r w:rsidR="009C0584">
        <w:rPr>
          <w:rFonts w:cs="Arial"/>
        </w:rPr>
        <w:t>introduced in Section 2.1</w:t>
      </w:r>
      <w:r>
        <w:rPr>
          <w:rFonts w:cs="Arial"/>
        </w:rPr>
        <w:t>.</w:t>
      </w:r>
      <w:bookmarkEnd w:id="200"/>
      <w:r>
        <w:rPr>
          <w:rFonts w:cs="Arial"/>
        </w:rPr>
        <w:t xml:space="preserve">  </w:t>
      </w:r>
    </w:p>
    <w:p w14:paraId="66F01DAE" w14:textId="77777777" w:rsidR="0072339A" w:rsidRDefault="0072339A" w:rsidP="0072339A"/>
    <w:p w14:paraId="24AF8E07" w14:textId="179BD28A" w:rsidR="0072339A" w:rsidRPr="00752256" w:rsidRDefault="0072339A" w:rsidP="0040785C">
      <w:pPr>
        <w:pStyle w:val="Heading2"/>
      </w:pPr>
      <w:r>
        <w:t>2.</w:t>
      </w:r>
      <w:r w:rsidR="0040785C">
        <w:t>2</w:t>
      </w:r>
      <w:r>
        <w:tab/>
        <w:t>Delay reporting</w:t>
      </w:r>
    </w:p>
    <w:p w14:paraId="7DE87902" w14:textId="646B632B" w:rsidR="0072339A" w:rsidRPr="00811AEE" w:rsidRDefault="0072339A" w:rsidP="0072339A">
      <w:pPr>
        <w:rPr>
          <w:rFonts w:ascii="Arial" w:hAnsi="Arial"/>
          <w:lang w:val="en-US"/>
        </w:rPr>
      </w:pPr>
      <w:r w:rsidRPr="00811AEE">
        <w:rPr>
          <w:rFonts w:ascii="Arial" w:hAnsi="Arial"/>
          <w:lang w:val="en-US"/>
        </w:rPr>
        <w:t>During the Rel</w:t>
      </w:r>
      <w:r w:rsidR="0065673D">
        <w:rPr>
          <w:rFonts w:ascii="Arial" w:hAnsi="Arial"/>
          <w:lang w:val="en-US"/>
        </w:rPr>
        <w:t>-</w:t>
      </w:r>
      <w:r w:rsidRPr="00811AEE">
        <w:rPr>
          <w:rFonts w:ascii="Arial" w:hAnsi="Arial"/>
          <w:lang w:val="en-US"/>
        </w:rPr>
        <w:t xml:space="preserve">18 SI </w:t>
      </w:r>
      <w:r w:rsidR="00913769">
        <w:rPr>
          <w:rFonts w:ascii="Arial" w:hAnsi="Arial"/>
          <w:lang w:val="en-US"/>
        </w:rPr>
        <w:t>simulations were done showing</w:t>
      </w:r>
      <w:r w:rsidRPr="00811AEE">
        <w:rPr>
          <w:rFonts w:ascii="Arial" w:hAnsi="Arial"/>
          <w:lang w:val="en-US"/>
        </w:rPr>
        <w:t xml:space="preserve"> that adding delay information to the BSR </w:t>
      </w:r>
      <w:r w:rsidR="00251E8B">
        <w:rPr>
          <w:rFonts w:ascii="Arial" w:hAnsi="Arial"/>
          <w:lang w:val="en-US"/>
        </w:rPr>
        <w:t>is</w:t>
      </w:r>
      <w:r w:rsidRPr="00811AEE">
        <w:rPr>
          <w:rFonts w:ascii="Arial" w:hAnsi="Arial"/>
          <w:lang w:val="en-US"/>
        </w:rPr>
        <w:t xml:space="preserve"> beneficial for XR capacity by utilizing the information in a delay scheduler </w:t>
      </w:r>
      <w:r>
        <w:rPr>
          <w:rFonts w:ascii="Arial" w:hAnsi="Arial"/>
          <w:lang w:val="en-US"/>
        </w:rPr>
        <w:t>[2].</w:t>
      </w:r>
      <w:r w:rsidRPr="00811AEE">
        <w:rPr>
          <w:rFonts w:ascii="Arial" w:hAnsi="Arial"/>
          <w:lang w:val="en-US"/>
        </w:rPr>
        <w:t xml:space="preserve"> </w:t>
      </w:r>
      <w:r w:rsidR="00A41CE9">
        <w:rPr>
          <w:rFonts w:ascii="Arial" w:hAnsi="Arial"/>
          <w:lang w:val="en-US"/>
        </w:rPr>
        <w:t>Delay scheduling work</w:t>
      </w:r>
      <w:r w:rsidR="009825CE">
        <w:rPr>
          <w:rFonts w:ascii="Arial" w:hAnsi="Arial"/>
          <w:lang w:val="en-US"/>
        </w:rPr>
        <w:t>s</w:t>
      </w:r>
      <w:r w:rsidR="00A41CE9">
        <w:rPr>
          <w:rFonts w:ascii="Arial" w:hAnsi="Arial"/>
          <w:lang w:val="en-US"/>
        </w:rPr>
        <w:t xml:space="preserve"> by </w:t>
      </w:r>
      <w:r w:rsidR="00D521FC">
        <w:rPr>
          <w:rFonts w:ascii="Arial" w:hAnsi="Arial"/>
          <w:lang w:val="en-US"/>
        </w:rPr>
        <w:t xml:space="preserve">prioritizing users efficiently by utilizing early delay information. </w:t>
      </w:r>
      <w:r w:rsidRPr="00811AEE">
        <w:rPr>
          <w:rFonts w:ascii="Arial" w:hAnsi="Arial"/>
          <w:lang w:val="en-US"/>
        </w:rPr>
        <w:t xml:space="preserve">This led to the conclusion that some delay information should be reported coupled with buffer data </w:t>
      </w:r>
      <w:r>
        <w:rPr>
          <w:rFonts w:ascii="Arial" w:hAnsi="Arial"/>
          <w:lang w:val="en-US"/>
        </w:rPr>
        <w:t>[1].</w:t>
      </w:r>
      <w:r w:rsidRPr="00811AEE">
        <w:rPr>
          <w:rFonts w:ascii="Arial" w:hAnsi="Arial"/>
          <w:lang w:val="en-US"/>
        </w:rPr>
        <w:t xml:space="preserve"> A suitable place for this is in the BSR as it already contains the buffer size information. </w:t>
      </w:r>
      <w:r w:rsidR="005102DB" w:rsidRPr="00811AEE">
        <w:rPr>
          <w:rFonts w:ascii="Arial" w:hAnsi="Arial"/>
          <w:lang w:val="en-US"/>
        </w:rPr>
        <w:t>However,</w:t>
      </w:r>
      <w:r w:rsidRPr="00811AEE">
        <w:rPr>
          <w:rFonts w:ascii="Arial" w:hAnsi="Arial"/>
          <w:lang w:val="en-US"/>
        </w:rPr>
        <w:t xml:space="preserve"> none of the existing BSR formats can be used for this</w:t>
      </w:r>
      <w:r>
        <w:rPr>
          <w:rFonts w:ascii="Arial" w:hAnsi="Arial"/>
          <w:lang w:val="en-US"/>
        </w:rPr>
        <w:t xml:space="preserve"> since there need to be </w:t>
      </w:r>
      <w:r w:rsidR="00CD74F4">
        <w:rPr>
          <w:rFonts w:ascii="Arial" w:hAnsi="Arial"/>
          <w:lang w:val="en-US"/>
        </w:rPr>
        <w:t>room for</w:t>
      </w:r>
      <w:r>
        <w:rPr>
          <w:rFonts w:ascii="Arial" w:hAnsi="Arial"/>
          <w:lang w:val="en-US"/>
        </w:rPr>
        <w:t xml:space="preserve"> the delay information </w:t>
      </w:r>
      <w:r w:rsidRPr="00811AEE">
        <w:rPr>
          <w:rFonts w:ascii="Arial" w:hAnsi="Arial"/>
          <w:lang w:val="en-US"/>
        </w:rPr>
        <w:t xml:space="preserve">and thus </w:t>
      </w:r>
      <w:r>
        <w:rPr>
          <w:rFonts w:ascii="Arial" w:hAnsi="Arial"/>
          <w:lang w:val="en-US"/>
        </w:rPr>
        <w:t xml:space="preserve">a </w:t>
      </w:r>
      <w:r w:rsidRPr="00811AEE">
        <w:rPr>
          <w:rFonts w:ascii="Arial" w:hAnsi="Arial"/>
          <w:lang w:val="en-US"/>
        </w:rPr>
        <w:t xml:space="preserve">new MAC CE </w:t>
      </w:r>
      <w:r>
        <w:rPr>
          <w:rFonts w:ascii="Arial" w:hAnsi="Arial"/>
          <w:lang w:val="en-US"/>
        </w:rPr>
        <w:t>should be introduced.</w:t>
      </w:r>
    </w:p>
    <w:p w14:paraId="5A773317" w14:textId="7DD3873E" w:rsidR="0072339A" w:rsidRPr="00086A18" w:rsidRDefault="003A04BA" w:rsidP="0072339A">
      <w:pPr>
        <w:pStyle w:val="Proposal"/>
        <w:tabs>
          <w:tab w:val="clear" w:pos="3554"/>
          <w:tab w:val="num" w:pos="2834"/>
          <w:tab w:val="num" w:pos="3686"/>
        </w:tabs>
        <w:ind w:left="1701" w:hanging="1701"/>
        <w:rPr>
          <w:rFonts w:cs="Arial"/>
        </w:rPr>
      </w:pPr>
      <w:bookmarkStart w:id="201" w:name="_Toc142603356"/>
      <w:r>
        <w:rPr>
          <w:rFonts w:cs="Arial"/>
        </w:rPr>
        <w:t>Delay reporti</w:t>
      </w:r>
      <w:r w:rsidR="00B038EC">
        <w:rPr>
          <w:rFonts w:cs="Arial"/>
        </w:rPr>
        <w:t xml:space="preserve">ng should </w:t>
      </w:r>
      <w:r w:rsidR="00240F28">
        <w:rPr>
          <w:rFonts w:cs="Arial"/>
        </w:rPr>
        <w:t>also provide</w:t>
      </w:r>
      <w:r w:rsidR="0072339A" w:rsidRPr="00086A18">
        <w:rPr>
          <w:rFonts w:cs="Arial"/>
        </w:rPr>
        <w:t xml:space="preserve"> buffer information</w:t>
      </w:r>
      <w:r w:rsidR="0049432C">
        <w:rPr>
          <w:rFonts w:cs="Arial"/>
        </w:rPr>
        <w:t xml:space="preserve"> </w:t>
      </w:r>
      <w:r w:rsidR="00480320">
        <w:rPr>
          <w:rFonts w:cs="Arial"/>
        </w:rPr>
        <w:t xml:space="preserve">utilizing </w:t>
      </w:r>
      <w:r w:rsidR="0065673D">
        <w:rPr>
          <w:rFonts w:cs="Arial"/>
        </w:rPr>
        <w:t xml:space="preserve">the </w:t>
      </w:r>
      <w:r w:rsidR="00480320">
        <w:rPr>
          <w:rFonts w:cs="Arial"/>
        </w:rPr>
        <w:t>defined BS tables.</w:t>
      </w:r>
      <w:bookmarkEnd w:id="201"/>
    </w:p>
    <w:p w14:paraId="4E042240" w14:textId="5011DC4B" w:rsidR="00923E0C" w:rsidRDefault="00923E0C" w:rsidP="0021429B">
      <w:pPr>
        <w:rPr>
          <w:lang w:val="en-US"/>
        </w:rPr>
      </w:pPr>
    </w:p>
    <w:p w14:paraId="75430042" w14:textId="19AE7967" w:rsidR="0072339A" w:rsidRDefault="0072339A" w:rsidP="0072339A">
      <w:pPr>
        <w:rPr>
          <w:rFonts w:ascii="Arial" w:hAnsi="Arial"/>
          <w:lang w:val="en-US"/>
        </w:rPr>
      </w:pPr>
      <w:r w:rsidRPr="00811AEE">
        <w:rPr>
          <w:rFonts w:ascii="Arial" w:hAnsi="Arial"/>
          <w:lang w:val="en-US"/>
        </w:rPr>
        <w:t>Claims have been made that only a single value of delay information should be enough to report. However, it can be shown in examples that reporting without any granularity on the time scale will not work well in all scenarios</w:t>
      </w:r>
      <w:r>
        <w:rPr>
          <w:rFonts w:ascii="Arial" w:hAnsi="Arial"/>
          <w:lang w:val="en-US"/>
        </w:rPr>
        <w:t xml:space="preserve">, e.g. when </w:t>
      </w:r>
      <w:r w:rsidRPr="00811AEE">
        <w:rPr>
          <w:rFonts w:ascii="Arial" w:hAnsi="Arial"/>
          <w:lang w:val="en-US"/>
        </w:rPr>
        <w:t xml:space="preserve">there </w:t>
      </w:r>
      <w:r>
        <w:rPr>
          <w:rFonts w:ascii="Arial" w:hAnsi="Arial"/>
          <w:lang w:val="en-US"/>
        </w:rPr>
        <w:t>are several</w:t>
      </w:r>
      <w:r w:rsidRPr="00811AEE">
        <w:rPr>
          <w:rFonts w:ascii="Arial" w:hAnsi="Arial"/>
          <w:lang w:val="en-US"/>
        </w:rPr>
        <w:t xml:space="preserve"> PDU Sets at the same time in the buffer with different time left until deadline (see appendix A for detailed analysis of </w:t>
      </w:r>
      <w:r w:rsidR="00F12C8F">
        <w:rPr>
          <w:rFonts w:ascii="Arial" w:hAnsi="Arial"/>
          <w:lang w:val="en-US"/>
        </w:rPr>
        <w:t>various</w:t>
      </w:r>
      <w:r w:rsidRPr="00811AEE">
        <w:rPr>
          <w:rFonts w:ascii="Arial" w:hAnsi="Arial"/>
          <w:lang w:val="en-US"/>
        </w:rPr>
        <w:t xml:space="preserve"> time reporting </w:t>
      </w:r>
      <w:r>
        <w:rPr>
          <w:rFonts w:ascii="Arial" w:hAnsi="Arial"/>
          <w:lang w:val="en-US"/>
        </w:rPr>
        <w:t>scenarios</w:t>
      </w:r>
      <w:r w:rsidRPr="00811AEE">
        <w:rPr>
          <w:rFonts w:ascii="Arial" w:hAnsi="Arial"/>
          <w:lang w:val="en-US"/>
        </w:rPr>
        <w:t xml:space="preserve">). It is thus </w:t>
      </w:r>
      <w:r w:rsidR="00180979">
        <w:rPr>
          <w:rFonts w:ascii="Arial" w:hAnsi="Arial"/>
          <w:lang w:val="en-US"/>
        </w:rPr>
        <w:t>important</w:t>
      </w:r>
      <w:r w:rsidR="00180979" w:rsidRPr="00811AEE">
        <w:rPr>
          <w:rFonts w:ascii="Arial" w:hAnsi="Arial"/>
          <w:lang w:val="en-US"/>
        </w:rPr>
        <w:t xml:space="preserve"> </w:t>
      </w:r>
      <w:r>
        <w:rPr>
          <w:rFonts w:ascii="Arial" w:hAnsi="Arial"/>
          <w:lang w:val="en-US"/>
        </w:rPr>
        <w:t xml:space="preserve">that </w:t>
      </w:r>
      <w:r w:rsidRPr="00811AEE">
        <w:rPr>
          <w:rFonts w:ascii="Arial" w:hAnsi="Arial"/>
          <w:lang w:val="en-US"/>
        </w:rPr>
        <w:t xml:space="preserve">delay reporting is </w:t>
      </w:r>
      <w:r>
        <w:rPr>
          <w:rFonts w:ascii="Arial" w:hAnsi="Arial"/>
          <w:lang w:val="en-US"/>
        </w:rPr>
        <w:t>introduced</w:t>
      </w:r>
      <w:r w:rsidRPr="00811AEE">
        <w:rPr>
          <w:rFonts w:ascii="Arial" w:hAnsi="Arial"/>
          <w:lang w:val="en-US"/>
        </w:rPr>
        <w:t xml:space="preserve"> </w:t>
      </w:r>
      <w:r>
        <w:rPr>
          <w:rFonts w:ascii="Arial" w:hAnsi="Arial"/>
          <w:lang w:val="en-US"/>
        </w:rPr>
        <w:t xml:space="preserve">on </w:t>
      </w:r>
      <w:r w:rsidRPr="00811AEE">
        <w:rPr>
          <w:rFonts w:ascii="Arial" w:hAnsi="Arial"/>
          <w:lang w:val="en-US"/>
        </w:rPr>
        <w:t xml:space="preserve">a more granular level than only reporting </w:t>
      </w:r>
      <w:r>
        <w:rPr>
          <w:rFonts w:ascii="Arial" w:hAnsi="Arial"/>
          <w:lang w:val="en-US"/>
        </w:rPr>
        <w:t>a single</w:t>
      </w:r>
      <w:r w:rsidRPr="00811AEE">
        <w:rPr>
          <w:rFonts w:ascii="Arial" w:hAnsi="Arial"/>
          <w:lang w:val="en-US"/>
        </w:rPr>
        <w:t xml:space="preserve"> value. It should be noted that XR traffic has high latency requirement and thus data should not reside in the buffer for</w:t>
      </w:r>
      <w:r>
        <w:rPr>
          <w:rFonts w:ascii="Arial" w:hAnsi="Arial"/>
          <w:lang w:val="en-US"/>
        </w:rPr>
        <w:t xml:space="preserve"> a</w:t>
      </w:r>
      <w:r w:rsidR="00CC0C06">
        <w:rPr>
          <w:rFonts w:ascii="Arial" w:hAnsi="Arial"/>
          <w:lang w:val="en-US"/>
        </w:rPr>
        <w:t xml:space="preserve"> very</w:t>
      </w:r>
      <w:r w:rsidRPr="00811AEE">
        <w:rPr>
          <w:rFonts w:ascii="Arial" w:hAnsi="Arial"/>
          <w:lang w:val="en-US"/>
        </w:rPr>
        <w:t xml:space="preserve"> long time or it will anyway be regarded as useless and discarded. It can thus be assumed that there should not be a need for a large number of delay values reported </w:t>
      </w:r>
      <w:r>
        <w:rPr>
          <w:rFonts w:ascii="Arial" w:hAnsi="Arial"/>
          <w:lang w:val="en-US"/>
        </w:rPr>
        <w:t>however</w:t>
      </w:r>
      <w:r w:rsidRPr="00811AEE">
        <w:rPr>
          <w:rFonts w:ascii="Arial" w:hAnsi="Arial"/>
          <w:lang w:val="en-US"/>
        </w:rPr>
        <w:t xml:space="preserve"> the exact number can be decided at a later stage depending on the agreement of introducing a new MAC CE. Furthe</w:t>
      </w:r>
      <w:r>
        <w:rPr>
          <w:rFonts w:ascii="Arial" w:hAnsi="Arial"/>
          <w:lang w:val="en-US"/>
        </w:rPr>
        <w:t>r</w:t>
      </w:r>
      <w:r w:rsidRPr="00811AEE">
        <w:rPr>
          <w:rFonts w:ascii="Arial" w:hAnsi="Arial"/>
          <w:lang w:val="en-US"/>
        </w:rPr>
        <w:t xml:space="preserve"> as there may be multiple traffic flows with different delay requirements ongoing from a UE the delay reporting should be done per </w:t>
      </w:r>
      <w:r>
        <w:rPr>
          <w:rFonts w:ascii="Arial" w:hAnsi="Arial"/>
          <w:lang w:val="en-US"/>
        </w:rPr>
        <w:t>LCG where preferably only LCIDs with similar delay requirements are grouped</w:t>
      </w:r>
      <w:r w:rsidRPr="00811AEE">
        <w:rPr>
          <w:rFonts w:ascii="Arial" w:hAnsi="Arial"/>
          <w:lang w:val="en-US"/>
        </w:rPr>
        <w:t xml:space="preserve">. This </w:t>
      </w:r>
      <w:r w:rsidR="00B97263">
        <w:rPr>
          <w:rFonts w:ascii="Arial" w:hAnsi="Arial"/>
          <w:lang w:val="en-US"/>
        </w:rPr>
        <w:t xml:space="preserve">delay </w:t>
      </w:r>
      <w:r w:rsidRPr="00811AEE">
        <w:rPr>
          <w:rFonts w:ascii="Arial" w:hAnsi="Arial"/>
          <w:lang w:val="en-US"/>
        </w:rPr>
        <w:t xml:space="preserve">granularity increases the overhead of the reporting and thus finding a solution that limits the overhead is preferred. It should be noted that reporting the exact delay value would create a lot of overhead and is thus not practical. </w:t>
      </w:r>
    </w:p>
    <w:p w14:paraId="266DD6FE" w14:textId="4D320117" w:rsidR="0072339A" w:rsidRPr="000C3006" w:rsidRDefault="0072339A" w:rsidP="0072339A">
      <w:pPr>
        <w:pStyle w:val="Proposal"/>
        <w:tabs>
          <w:tab w:val="clear" w:pos="3554"/>
          <w:tab w:val="num" w:pos="3686"/>
        </w:tabs>
        <w:ind w:left="1276"/>
        <w:rPr>
          <w:lang w:val="en-US"/>
        </w:rPr>
      </w:pPr>
      <w:bookmarkStart w:id="202" w:name="_Toc142603357"/>
      <w:r>
        <w:rPr>
          <w:lang w:val="en-US"/>
        </w:rPr>
        <w:lastRenderedPageBreak/>
        <w:t>Delay reporting is done by indicating bucket indexes similar as for the buffer status</w:t>
      </w:r>
      <w:r w:rsidR="000C3575">
        <w:rPr>
          <w:lang w:val="en-US"/>
        </w:rPr>
        <w:t>, per LCG</w:t>
      </w:r>
      <w:r>
        <w:rPr>
          <w:lang w:val="en-US"/>
        </w:rPr>
        <w:t>.</w:t>
      </w:r>
      <w:bookmarkEnd w:id="202"/>
      <w:r>
        <w:rPr>
          <w:lang w:val="en-US"/>
        </w:rPr>
        <w:t xml:space="preserve"> </w:t>
      </w:r>
    </w:p>
    <w:p w14:paraId="5EDDA138" w14:textId="4D8384BC" w:rsidR="0072339A" w:rsidRDefault="0072339A" w:rsidP="0072339A">
      <w:pPr>
        <w:rPr>
          <w:rFonts w:ascii="Arial" w:hAnsi="Arial"/>
          <w:lang w:val="en-US"/>
        </w:rPr>
      </w:pPr>
    </w:p>
    <w:p w14:paraId="02EF47C3" w14:textId="6D209858" w:rsidR="00514FE4" w:rsidRPr="00E006E0" w:rsidRDefault="00410D77" w:rsidP="00672D77">
      <w:pPr>
        <w:pStyle w:val="Heading3"/>
        <w:rPr>
          <w:lang w:val="en-US"/>
        </w:rPr>
      </w:pPr>
      <w:r>
        <w:rPr>
          <w:lang w:val="en-US"/>
        </w:rPr>
        <w:t>2.2.</w:t>
      </w:r>
      <w:r w:rsidR="00074B07">
        <w:rPr>
          <w:lang w:val="en-US"/>
        </w:rPr>
        <w:t>1</w:t>
      </w:r>
      <w:r>
        <w:rPr>
          <w:lang w:val="en-US"/>
        </w:rPr>
        <w:tab/>
        <w:t>Delay reporting configuration</w:t>
      </w:r>
    </w:p>
    <w:p w14:paraId="305E1D91" w14:textId="2BB4D8EE" w:rsidR="002900B9" w:rsidRDefault="00C02BD2" w:rsidP="0072339A">
      <w:pPr>
        <w:rPr>
          <w:rFonts w:ascii="Arial" w:hAnsi="Arial"/>
          <w:lang w:val="en-US"/>
        </w:rPr>
      </w:pPr>
      <w:r>
        <w:rPr>
          <w:rFonts w:ascii="Arial" w:hAnsi="Arial"/>
          <w:lang w:val="en-US"/>
        </w:rPr>
        <w:t>Since d</w:t>
      </w:r>
      <w:r w:rsidR="0072339A">
        <w:rPr>
          <w:rFonts w:ascii="Arial" w:hAnsi="Arial"/>
          <w:lang w:val="en-US"/>
        </w:rPr>
        <w:t>elay/latency r</w:t>
      </w:r>
      <w:r w:rsidR="0072339A" w:rsidRPr="00811AEE">
        <w:rPr>
          <w:rFonts w:ascii="Arial" w:hAnsi="Arial"/>
          <w:lang w:val="en-US"/>
        </w:rPr>
        <w:t>eporting can be done in a similar fashion to the buffer size reporting procedure</w:t>
      </w:r>
      <w:r w:rsidR="0088687F">
        <w:rPr>
          <w:rFonts w:ascii="Arial" w:hAnsi="Arial"/>
          <w:lang w:val="en-US"/>
        </w:rPr>
        <w:t>,</w:t>
      </w:r>
      <w:r w:rsidR="0072339A" w:rsidRPr="00811AEE">
        <w:rPr>
          <w:rFonts w:ascii="Arial" w:hAnsi="Arial"/>
          <w:lang w:val="en-US"/>
        </w:rPr>
        <w:t xml:space="preserve"> by</w:t>
      </w:r>
      <w:r w:rsidR="0072339A">
        <w:rPr>
          <w:rFonts w:ascii="Arial" w:hAnsi="Arial"/>
          <w:lang w:val="en-US"/>
        </w:rPr>
        <w:t xml:space="preserve"> reporting an index which would indicate a delay range, these delay/latency tables can be configured by the network and indicated via RRC.</w:t>
      </w:r>
      <w:r w:rsidR="0072339A" w:rsidRPr="00811AEE">
        <w:rPr>
          <w:rFonts w:ascii="Arial" w:hAnsi="Arial"/>
          <w:lang w:val="en-US"/>
        </w:rPr>
        <w:t xml:space="preserve"> In this way the granularity can be flexible around the most relevant parts, i.e. the lower indexes </w:t>
      </w:r>
      <w:r w:rsidR="00F8572A">
        <w:rPr>
          <w:rFonts w:ascii="Arial" w:hAnsi="Arial"/>
          <w:lang w:val="en-US"/>
        </w:rPr>
        <w:t>indicate a</w:t>
      </w:r>
      <w:r w:rsidR="0072339A" w:rsidRPr="00811AEE">
        <w:rPr>
          <w:rFonts w:ascii="Arial" w:hAnsi="Arial"/>
          <w:lang w:val="en-US"/>
        </w:rPr>
        <w:t xml:space="preserve"> smaller delay range in the table. </w:t>
      </w:r>
    </w:p>
    <w:p w14:paraId="396693D9" w14:textId="5D98877C" w:rsidR="00ED7E65" w:rsidRDefault="0072339A" w:rsidP="0072339A">
      <w:pPr>
        <w:rPr>
          <w:rFonts w:ascii="Arial" w:hAnsi="Arial"/>
          <w:lang w:val="en-US"/>
        </w:rPr>
      </w:pPr>
      <w:r>
        <w:rPr>
          <w:rFonts w:ascii="Arial" w:hAnsi="Arial"/>
          <w:lang w:val="en-US"/>
        </w:rPr>
        <w:t xml:space="preserve">The network could configure the minimum and maximum delay and the steps. For example, a minimum value of 0 and maximum value of 40 ms with 4 steps, would return 4 indexes indication </w:t>
      </w:r>
      <w:r w:rsidR="002E6E42">
        <w:rPr>
          <w:rFonts w:ascii="Arial" w:hAnsi="Arial"/>
          <w:lang w:val="en-US"/>
        </w:rPr>
        <w:t xml:space="preserve">a range in </w:t>
      </w:r>
      <w:r>
        <w:rPr>
          <w:rFonts w:ascii="Arial" w:hAnsi="Arial"/>
          <w:lang w:val="en-US"/>
        </w:rPr>
        <w:t>one of them from 0 to &lt;10 ms, another from 10 to &lt;20 ms, and so on. The UE would report the buffer size in each of these latency/delay buckets. Latency/delay buckets could indicate queued time, for instance.</w:t>
      </w:r>
    </w:p>
    <w:p w14:paraId="3BEC9E0D" w14:textId="28F0CC14" w:rsidR="0091071C" w:rsidRDefault="006D72A0" w:rsidP="00ED7E65">
      <w:pPr>
        <w:pStyle w:val="Proposal"/>
      </w:pPr>
      <w:bookmarkStart w:id="203" w:name="_Toc142603358"/>
      <w:r>
        <w:t xml:space="preserve">Two </w:t>
      </w:r>
      <w:r w:rsidR="001143DA">
        <w:t>delay</w:t>
      </w:r>
      <w:r>
        <w:t xml:space="preserve"> tables per LCG can be configured: one for</w:t>
      </w:r>
      <w:r w:rsidR="001A06F3">
        <w:t xml:space="preserve"> short delay reporting</w:t>
      </w:r>
      <w:r>
        <w:t xml:space="preserve">, another table for </w:t>
      </w:r>
      <w:r w:rsidR="001A06F3">
        <w:t>l</w:t>
      </w:r>
      <w:r>
        <w:t>ong delay reporting.</w:t>
      </w:r>
      <w:bookmarkEnd w:id="203"/>
    </w:p>
    <w:p w14:paraId="29BDD9F8" w14:textId="2F14E7B4" w:rsidR="00ED7E65" w:rsidRDefault="00ED7E65" w:rsidP="00ED7E65">
      <w:pPr>
        <w:pStyle w:val="Proposal"/>
      </w:pPr>
      <w:bookmarkStart w:id="204" w:name="_Toc142603359"/>
      <w:r>
        <w:t xml:space="preserve">A delay table is defined by: - min value, - max value, and </w:t>
      </w:r>
      <w:r w:rsidR="003F62E2">
        <w:t>-</w:t>
      </w:r>
      <w:r>
        <w:t xml:space="preserve"> stepSize.</w:t>
      </w:r>
      <w:bookmarkEnd w:id="204"/>
    </w:p>
    <w:p w14:paraId="39163155" w14:textId="25033C26" w:rsidR="00664FAB" w:rsidRDefault="00A12401" w:rsidP="00ED7E65">
      <w:pPr>
        <w:pStyle w:val="Proposal"/>
      </w:pPr>
      <w:bookmarkStart w:id="205" w:name="_Toc142603360"/>
      <w:r>
        <w:t xml:space="preserve">Up to </w:t>
      </w:r>
      <w:r w:rsidR="00293126">
        <w:t>8</w:t>
      </w:r>
      <w:r w:rsidR="007062C3">
        <w:t xml:space="preserve"> buckets</w:t>
      </w:r>
      <w:r>
        <w:t xml:space="preserve"> can be configured</w:t>
      </w:r>
      <w:r w:rsidR="003E5AFE">
        <w:t xml:space="preserve"> for long delay reporting. 1 bucket is enough for short delay reporting (see </w:t>
      </w:r>
      <w:r w:rsidR="00B04936">
        <w:t>2.2.3)</w:t>
      </w:r>
      <w:r w:rsidR="0025583B">
        <w:t>.</w:t>
      </w:r>
      <w:bookmarkEnd w:id="205"/>
    </w:p>
    <w:p w14:paraId="3B7D23C0" w14:textId="7A5AD4C9" w:rsidR="00ED7E65" w:rsidRPr="00557000" w:rsidRDefault="00414539" w:rsidP="00ED7E65">
      <w:pPr>
        <w:pStyle w:val="Proposal"/>
      </w:pPr>
      <w:bookmarkStart w:id="206" w:name="_Toc142591152"/>
      <w:bookmarkStart w:id="207" w:name="_Toc142603157"/>
      <w:bookmarkStart w:id="208" w:name="_Toc142603225"/>
      <w:bookmarkStart w:id="209" w:name="_Toc142603293"/>
      <w:bookmarkStart w:id="210" w:name="_Toc142603361"/>
      <w:bookmarkStart w:id="211" w:name="_Toc142603362"/>
      <w:bookmarkEnd w:id="206"/>
      <w:bookmarkEnd w:id="207"/>
      <w:bookmarkEnd w:id="208"/>
      <w:bookmarkEnd w:id="209"/>
      <w:bookmarkEnd w:id="210"/>
      <w:r>
        <w:t>Delay table</w:t>
      </w:r>
      <w:r w:rsidR="00ED7E65">
        <w:t xml:space="preserve"> </w:t>
      </w:r>
      <w:r>
        <w:t>is</w:t>
      </w:r>
      <w:r w:rsidR="00ED7E65">
        <w:t xml:space="preserve"> built as:</w:t>
      </w:r>
      <w:r w:rsidR="00ED7E65">
        <w:br/>
        <w:t>For index 0, BS value is defined by:</w:t>
      </w:r>
      <w:r w:rsidR="00ED7E65">
        <w:br/>
        <w:t xml:space="preserve">[ </w:t>
      </w:r>
      <w:r w:rsidR="00ED7E65">
        <w:rPr>
          <w:rFonts w:cs="Arial"/>
        </w:rPr>
        <w:t>≥</w:t>
      </w:r>
      <w:r w:rsidR="00ED7E65">
        <w:t xml:space="preserve"> min value &amp; </w:t>
      </w:r>
      <w:r w:rsidR="00ED7E65">
        <w:rPr>
          <w:rFonts w:cs="Arial"/>
        </w:rPr>
        <w:t>≤</w:t>
      </w:r>
      <w:r w:rsidR="00ED7E65">
        <w:t xml:space="preserve"> min value x (stepSize x (BS index + 1)</w:t>
      </w:r>
      <w:r w:rsidR="00ED7E65">
        <w:br/>
      </w:r>
      <w:r w:rsidR="006303E7">
        <w:t>Second and third</w:t>
      </w:r>
      <w:r w:rsidR="004616F8">
        <w:t xml:space="preserve"> index</w:t>
      </w:r>
      <w:r w:rsidR="00ED7E65">
        <w:t>, BS value is defined by [</w:t>
      </w:r>
      <w:r w:rsidR="00ED7E65" w:rsidRPr="008C25E4">
        <w:rPr>
          <w:rFonts w:cs="Arial"/>
        </w:rPr>
        <w:t>≤</w:t>
      </w:r>
      <w:r w:rsidR="00ED7E65">
        <w:t xml:space="preserve"> min value x (stepSize x (BS index + 1)]</w:t>
      </w:r>
      <w:r w:rsidR="006303E7">
        <w:br/>
        <w:t xml:space="preserve">Last bucket </w:t>
      </w:r>
      <w:r w:rsidR="002D48DE">
        <w:t xml:space="preserve">index </w:t>
      </w:r>
      <w:r w:rsidR="006303E7">
        <w:t xml:space="preserve">is defined by </w:t>
      </w:r>
      <w:r w:rsidR="00DD7EDD">
        <w:rPr>
          <w:rFonts w:cs="Arial"/>
        </w:rPr>
        <w:t xml:space="preserve">≥ </w:t>
      </w:r>
      <w:r w:rsidR="00DD7EDD">
        <w:t>min value x (stepSize x (BS index + 1)]</w:t>
      </w:r>
      <w:r w:rsidR="00C2279E">
        <w:t xml:space="preserve"> or </w:t>
      </w:r>
      <w:r w:rsidR="00C2279E">
        <w:rPr>
          <w:rFonts w:cs="Arial"/>
        </w:rPr>
        <w:t>≥ max value (if provided)</w:t>
      </w:r>
      <w:bookmarkEnd w:id="211"/>
    </w:p>
    <w:p w14:paraId="7C0085F1" w14:textId="58969937" w:rsidR="00557000" w:rsidRDefault="00557000" w:rsidP="00ED7E65">
      <w:pPr>
        <w:pStyle w:val="Proposal"/>
      </w:pPr>
      <w:bookmarkStart w:id="212" w:name="_Toc142603363"/>
      <w:r>
        <w:t>For short delay reporting, min and max value</w:t>
      </w:r>
      <w:r w:rsidR="00F6295D">
        <w:t>, or min and step</w:t>
      </w:r>
      <w:r w:rsidR="007941CD">
        <w:t xml:space="preserve"> size</w:t>
      </w:r>
      <w:r w:rsidR="00F6295D">
        <w:t xml:space="preserve"> needs to be provided.</w:t>
      </w:r>
      <w:bookmarkEnd w:id="212"/>
    </w:p>
    <w:p w14:paraId="40E2B3C4" w14:textId="0C39A86D" w:rsidR="00ED7E65" w:rsidRDefault="00ED7E65" w:rsidP="0072339A">
      <w:pPr>
        <w:rPr>
          <w:rFonts w:ascii="Arial" w:hAnsi="Arial"/>
        </w:rPr>
      </w:pPr>
    </w:p>
    <w:p w14:paraId="7657A29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C3714C">
        <w:rPr>
          <w:rFonts w:ascii="Courier New" w:hAnsi="Courier New"/>
          <w:noProof/>
          <w:sz w:val="16"/>
          <w:lang w:eastAsia="en-GB"/>
        </w:rPr>
        <w:t xml:space="preserve">MAC-CellGroupConfig ::=             </w:t>
      </w:r>
      <w:r w:rsidRPr="00C3714C">
        <w:rPr>
          <w:rFonts w:ascii="Courier New" w:hAnsi="Courier New"/>
          <w:noProof/>
          <w:color w:val="993366"/>
          <w:sz w:val="16"/>
          <w:lang w:eastAsia="en-GB"/>
        </w:rPr>
        <w:t>SEQUENCE</w:t>
      </w:r>
      <w:r w:rsidRPr="00C3714C">
        <w:rPr>
          <w:rFonts w:ascii="Courier New" w:hAnsi="Courier New"/>
          <w:noProof/>
          <w:sz w:val="16"/>
          <w:lang w:eastAsia="en-GB"/>
        </w:rPr>
        <w:t xml:space="preserve"> {</w:t>
      </w:r>
    </w:p>
    <w:p w14:paraId="1B066177"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drx-Config                          SetupRelease { DRX-Config }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5ED5D298"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schedulingRequestConfig             SchedulingRequestConfig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BFCEC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bsr-Config                          BSR-Config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0FD8E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5A446303"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p>
    <w:p w14:paraId="0C973DF0" w14:textId="77777777"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906FA">
        <w:rPr>
          <w:rFonts w:ascii="Courier New" w:hAnsi="Courier New"/>
          <w:noProof/>
          <w:sz w:val="16"/>
          <w:lang w:eastAsia="en-GB"/>
        </w:rPr>
        <w:t xml:space="preserve">    [[</w:t>
      </w:r>
    </w:p>
    <w:p w14:paraId="212FDD7B" w14:textId="647EE523"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rPr>
          <w:rFonts w:ascii="Courier New" w:hAnsi="Courier New"/>
          <w:noProof/>
          <w:sz w:val="16"/>
          <w:lang w:eastAsia="en-GB"/>
        </w:rPr>
        <w:t xml:space="preserve">    </w:t>
      </w:r>
      <w:r>
        <w:rPr>
          <w:rFonts w:ascii="Courier New" w:hAnsi="Courier New"/>
          <w:noProof/>
          <w:sz w:val="16"/>
          <w:lang w:eastAsia="en-GB"/>
        </w:rPr>
        <w:t>DelayTablesList</w:t>
      </w:r>
      <w:r w:rsidRPr="007906FA">
        <w:rPr>
          <w:rFonts w:ascii="Courier New" w:hAnsi="Courier New"/>
          <w:noProof/>
          <w:sz w:val="16"/>
          <w:lang w:eastAsia="en-GB"/>
        </w:rPr>
        <w:t>-r1</w:t>
      </w:r>
      <w:r>
        <w:rPr>
          <w:rFonts w:ascii="Courier New" w:hAnsi="Courier New"/>
          <w:noProof/>
          <w:sz w:val="16"/>
          <w:lang w:eastAsia="en-GB"/>
        </w:rPr>
        <w:t>8</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maxLCG</w:t>
      </w:r>
      <w:r>
        <w:rPr>
          <w:rFonts w:ascii="Courier New" w:hAnsi="Courier New"/>
          <w:noProof/>
          <w:sz w:val="16"/>
          <w:lang w:eastAsia="en-GB"/>
        </w:rPr>
        <w:t xml:space="preserve"> (8))) of DelayTableList</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Pr="00C3714C">
        <w:rPr>
          <w:rFonts w:ascii="Courier New" w:hAnsi="Courier New"/>
          <w:noProof/>
          <w:sz w:val="16"/>
          <w:lang w:eastAsia="en-GB"/>
        </w:rPr>
        <w:t>,</w:t>
      </w:r>
      <w:r w:rsidRPr="007906FA">
        <w:rPr>
          <w:rFonts w:ascii="Courier New" w:hAnsi="Courier New"/>
          <w:noProof/>
          <w:sz w:val="16"/>
          <w:lang w:eastAsia="en-GB"/>
        </w:rPr>
        <w:t xml:space="preserve">     </w:t>
      </w:r>
      <w:r>
        <w:rPr>
          <w:rFonts w:ascii="Courier New" w:hAnsi="Courier New"/>
          <w:noProof/>
          <w:color w:val="993366"/>
          <w:sz w:val="16"/>
          <w:lang w:eastAsia="en-GB"/>
        </w:rPr>
        <w:t xml:space="preserve">   </w:t>
      </w:r>
      <w:r>
        <w:rPr>
          <w:rFonts w:ascii="Courier New" w:hAnsi="Courier New"/>
          <w:noProof/>
          <w:color w:val="993366"/>
          <w:sz w:val="16"/>
          <w:lang w:eastAsia="en-GB"/>
        </w:rPr>
        <w:tab/>
      </w:r>
    </w:p>
    <w:p w14:paraId="4450817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t xml:space="preserve">    </w:t>
      </w:r>
      <w:r w:rsidRPr="007906FA">
        <w:rPr>
          <w:rFonts w:ascii="Courier New" w:hAnsi="Courier New"/>
          <w:noProof/>
          <w:sz w:val="16"/>
          <w:lang w:eastAsia="en-GB"/>
        </w:rPr>
        <w:t>]]</w:t>
      </w:r>
    </w:p>
    <w:p w14:paraId="5F846F07" w14:textId="77777777" w:rsidR="000925AC" w:rsidRDefault="000925AC" w:rsidP="000925AC"/>
    <w:p w14:paraId="76A4387B" w14:textId="79E2E7B9"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DelayTableList</w:t>
      </w:r>
      <w:r w:rsidRPr="005B6118">
        <w:rPr>
          <w:rFonts w:ascii="Courier New" w:hAnsi="Courier New"/>
          <w:noProof/>
          <w:sz w:val="16"/>
          <w:lang w:eastAsia="en-GB"/>
        </w:rPr>
        <w:t xml:space="preserve">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1517B7D4"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logicalChannelGroupIndex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(0..maxLCG-ID),</w:t>
      </w:r>
    </w:p>
    <w:p w14:paraId="306EE7D3" w14:textId="6943F64B"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sidRPr="005B6118">
        <w:rPr>
          <w:rFonts w:ascii="Courier New" w:hAnsi="Courier New"/>
          <w:noProof/>
          <w:sz w:val="16"/>
          <w:lang w:eastAsia="en-GB"/>
        </w:rPr>
        <w:t xml:space="preserve">    </w:t>
      </w:r>
      <w:r w:rsidR="00C37193">
        <w:rPr>
          <w:rFonts w:ascii="Courier New" w:hAnsi="Courier New"/>
          <w:noProof/>
          <w:sz w:val="16"/>
          <w:lang w:eastAsia="en-GB"/>
        </w:rPr>
        <w:t>shortD</w:t>
      </w:r>
      <w:r w:rsidR="002577DD">
        <w:rPr>
          <w:rFonts w:ascii="Courier New" w:hAnsi="Courier New"/>
          <w:noProof/>
          <w:sz w:val="16"/>
          <w:lang w:eastAsia="en-GB"/>
        </w:rPr>
        <w:t>elayT</w:t>
      </w:r>
      <w:r>
        <w:rPr>
          <w:rFonts w:ascii="Courier New" w:hAnsi="Courier New"/>
          <w:noProof/>
          <w:sz w:val="16"/>
          <w:lang w:eastAsia="en-GB"/>
        </w:rPr>
        <w:t>ableConfig</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2577DD">
        <w:rPr>
          <w:rFonts w:ascii="Courier New" w:hAnsi="Courier New"/>
          <w:noProof/>
          <w:sz w:val="16"/>
          <w:lang w:eastAsia="en-GB"/>
        </w:rPr>
        <w:tab/>
      </w:r>
      <w:r w:rsidR="005112A2">
        <w:rPr>
          <w:rFonts w:ascii="Courier New" w:hAnsi="Courier New"/>
          <w:noProof/>
          <w:sz w:val="16"/>
          <w:lang w:eastAsia="en-GB"/>
        </w:rPr>
        <w:t>Delay</w:t>
      </w:r>
      <w:r>
        <w:rPr>
          <w:rFonts w:ascii="Courier New" w:hAnsi="Courier New"/>
          <w:noProof/>
          <w:sz w:val="16"/>
          <w:lang w:eastAsia="en-GB"/>
        </w:rPr>
        <w:t xml:space="preserve">TableConfig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00C37193">
        <w:rPr>
          <w:rFonts w:ascii="Courier New" w:hAnsi="Courier New"/>
          <w:noProof/>
          <w:color w:val="993366"/>
          <w:sz w:val="16"/>
          <w:lang w:eastAsia="en-GB"/>
        </w:rPr>
        <w:t>,</w:t>
      </w:r>
    </w:p>
    <w:p w14:paraId="03AAECC4" w14:textId="563082CE" w:rsidR="00C37193" w:rsidRDefault="00C37193"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longDelayTableConfigList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947C28">
        <w:rPr>
          <w:rFonts w:ascii="Courier New" w:hAnsi="Courier New"/>
          <w:noProof/>
          <w:sz w:val="16"/>
          <w:lang w:eastAsia="en-GB"/>
        </w:rPr>
        <w:t xml:space="preserve">DelayTableConfig  </w:t>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r w:rsidR="00947C28" w:rsidRPr="00C3714C">
        <w:rPr>
          <w:rFonts w:ascii="Courier New" w:hAnsi="Courier New"/>
          <w:noProof/>
          <w:color w:val="993366"/>
          <w:sz w:val="16"/>
          <w:lang w:eastAsia="en-GB"/>
        </w:rPr>
        <w:t>OPTIONAL</w:t>
      </w:r>
    </w:p>
    <w:p w14:paraId="29C05110"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51F28A42"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22E8B2F" w14:textId="2F03CEF2" w:rsidR="000925AC" w:rsidRDefault="005112A2"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w:t>
      </w:r>
      <w:r w:rsidR="000925AC">
        <w:rPr>
          <w:rFonts w:ascii="Courier New" w:hAnsi="Courier New"/>
          <w:noProof/>
          <w:sz w:val="16"/>
          <w:lang w:eastAsia="en-GB"/>
        </w:rPr>
        <w:t>Table</w:t>
      </w:r>
      <w:r w:rsidR="000925AC" w:rsidRPr="005B6118">
        <w:rPr>
          <w:rFonts w:ascii="Courier New" w:hAnsi="Courier New"/>
          <w:noProof/>
          <w:sz w:val="16"/>
          <w:lang w:eastAsia="en-GB"/>
        </w:rPr>
        <w:t xml:space="preserve">Config ::=            </w:t>
      </w:r>
      <w:r w:rsidR="000925AC" w:rsidRPr="005B6118">
        <w:rPr>
          <w:rFonts w:ascii="Courier New" w:hAnsi="Courier New"/>
          <w:noProof/>
          <w:color w:val="993366"/>
          <w:sz w:val="16"/>
          <w:lang w:eastAsia="en-GB"/>
        </w:rPr>
        <w:t>SEQUENCE</w:t>
      </w:r>
      <w:r w:rsidR="000925AC" w:rsidRPr="005B6118">
        <w:rPr>
          <w:rFonts w:ascii="Courier New" w:hAnsi="Courier New"/>
          <w:noProof/>
          <w:sz w:val="16"/>
          <w:lang w:eastAsia="en-GB"/>
        </w:rPr>
        <w:t xml:space="preserve"> {</w:t>
      </w:r>
    </w:p>
    <w:p w14:paraId="3E9E45CB"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minValue</w:t>
      </w:r>
      <w:r w:rsidRPr="005B6118">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Pr="007106C9">
        <w:rPr>
          <w:rFonts w:ascii="Courier New" w:hAnsi="Courier New"/>
          <w:noProof/>
          <w:sz w:val="16"/>
          <w:highlight w:val="yellow"/>
          <w:lang w:eastAsia="en-GB"/>
        </w:rPr>
        <w:t>xx..yy</w:t>
      </w:r>
      <w:r w:rsidRPr="005B6118">
        <w:rPr>
          <w:rFonts w:ascii="Courier New" w:hAnsi="Courier New"/>
          <w:noProof/>
          <w:sz w:val="16"/>
          <w:lang w:eastAsia="en-GB"/>
        </w:rPr>
        <w:t>),</w:t>
      </w:r>
    </w:p>
    <w:p w14:paraId="58E84DAB" w14:textId="24B01D78"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maxValue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Pr>
          <w:rFonts w:ascii="Courier New" w:hAnsi="Courier New"/>
          <w:noProof/>
          <w:sz w:val="16"/>
          <w:lang w:eastAsia="en-GB"/>
        </w:rPr>
        <w:t>(</w:t>
      </w:r>
      <w:r w:rsidRPr="007106C9">
        <w:rPr>
          <w:rFonts w:ascii="Courier New" w:hAnsi="Courier New"/>
          <w:noProof/>
          <w:sz w:val="16"/>
          <w:highlight w:val="yellow"/>
          <w:lang w:eastAsia="en-GB"/>
        </w:rPr>
        <w:t>nn..mm</w:t>
      </w:r>
      <w:r>
        <w:rPr>
          <w:rFonts w:ascii="Courier New" w:hAnsi="Courier New"/>
          <w:noProof/>
          <w:sz w:val="16"/>
          <w:lang w:eastAsia="en-GB"/>
        </w:rPr>
        <w:t>)</w:t>
      </w:r>
      <w:r w:rsidR="00DE173E">
        <w:rPr>
          <w:rFonts w:ascii="Courier New" w:hAnsi="Courier New"/>
          <w:noProof/>
          <w:sz w:val="16"/>
          <w:lang w:eastAsia="en-GB"/>
        </w:rPr>
        <w:tab/>
      </w:r>
      <w:r w:rsidR="00DE173E">
        <w:rPr>
          <w:rFonts w:ascii="Courier New" w:hAnsi="Courier New"/>
          <w:noProof/>
          <w:sz w:val="16"/>
          <w:lang w:eastAsia="en-GB"/>
        </w:rPr>
        <w:tab/>
      </w:r>
      <w:r w:rsidR="00DE173E">
        <w:rPr>
          <w:rFonts w:ascii="Courier New" w:hAnsi="Courier New"/>
          <w:noProof/>
          <w:sz w:val="16"/>
          <w:lang w:eastAsia="en-GB"/>
        </w:rPr>
        <w:tab/>
      </w:r>
      <w:r w:rsidR="00DE173E" w:rsidRPr="005B6118">
        <w:rPr>
          <w:rFonts w:ascii="Courier New" w:hAnsi="Courier New"/>
          <w:noProof/>
          <w:color w:val="993366"/>
          <w:sz w:val="16"/>
          <w:lang w:eastAsia="en-GB"/>
        </w:rPr>
        <w:t>OPTIONAL</w:t>
      </w:r>
    </w:p>
    <w:p w14:paraId="62F8798D"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sidRPr="005B6118">
        <w:rPr>
          <w:rFonts w:ascii="Courier New" w:hAnsi="Courier New"/>
          <w:noProof/>
          <w:sz w:val="16"/>
          <w:lang w:eastAsia="en-GB"/>
        </w:rPr>
        <w:t xml:space="preserve"> </w:t>
      </w:r>
      <w:r>
        <w:rPr>
          <w:rFonts w:ascii="Courier New" w:hAnsi="Courier New"/>
          <w:noProof/>
          <w:sz w:val="16"/>
          <w:lang w:eastAsia="en-GB"/>
        </w:rPr>
        <w:tab/>
        <w:t>stepSize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Pr>
          <w:rFonts w:ascii="Courier New" w:hAnsi="Courier New"/>
          <w:noProof/>
          <w:sz w:val="16"/>
          <w:lang w:eastAsia="en-GB"/>
        </w:rPr>
        <w:t>(</w:t>
      </w:r>
      <w:r w:rsidRPr="002B5D9B">
        <w:rPr>
          <w:rFonts w:ascii="Courier New" w:hAnsi="Courier New"/>
          <w:noProof/>
          <w:sz w:val="16"/>
          <w:highlight w:val="yellow"/>
          <w:lang w:eastAsia="en-GB"/>
        </w:rPr>
        <w:t>bb..cc</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OPTIONAL</w:t>
      </w:r>
    </w:p>
    <w:p w14:paraId="715C0DA8"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1AFF10ED" w14:textId="77777777" w:rsidR="000925AC" w:rsidRPr="00672D77" w:rsidRDefault="000925AC" w:rsidP="0072339A">
      <w:pPr>
        <w:rPr>
          <w:rFonts w:ascii="Arial" w:hAnsi="Arial"/>
        </w:rPr>
      </w:pPr>
    </w:p>
    <w:p w14:paraId="3DE99DD5" w14:textId="6E458242" w:rsidR="00136EC0" w:rsidRDefault="00136EC0" w:rsidP="00136EC0">
      <w:pPr>
        <w:pStyle w:val="Proposal"/>
        <w:rPr>
          <w:lang w:val="en-US"/>
        </w:rPr>
      </w:pPr>
      <w:bookmarkStart w:id="213" w:name="_Toc142603364"/>
      <w:r>
        <w:rPr>
          <w:lang w:val="en-US"/>
        </w:rPr>
        <w:t xml:space="preserve">Adopt the ASN.1 outlined above to configure the delay </w:t>
      </w:r>
      <w:r w:rsidR="006D1DA3">
        <w:rPr>
          <w:lang w:val="en-US"/>
        </w:rPr>
        <w:t>table</w:t>
      </w:r>
      <w:r>
        <w:rPr>
          <w:lang w:val="en-US"/>
        </w:rPr>
        <w:t>.</w:t>
      </w:r>
      <w:bookmarkEnd w:id="213"/>
    </w:p>
    <w:p w14:paraId="120FA355" w14:textId="1C27EA80" w:rsidR="00901584" w:rsidRPr="00136EC0" w:rsidRDefault="00901584" w:rsidP="00414541">
      <w:pPr>
        <w:rPr>
          <w:b/>
          <w:bCs/>
          <w:lang w:val="en-US"/>
        </w:rPr>
      </w:pPr>
    </w:p>
    <w:p w14:paraId="240273E4" w14:textId="338FCFF6" w:rsidR="00901584" w:rsidRDefault="00901584" w:rsidP="00901584">
      <w:pPr>
        <w:pStyle w:val="Heading3"/>
        <w:rPr>
          <w:lang w:val="en-US"/>
        </w:rPr>
      </w:pPr>
      <w:r>
        <w:rPr>
          <w:lang w:val="en-US"/>
        </w:rPr>
        <w:lastRenderedPageBreak/>
        <w:t>2.2.</w:t>
      </w:r>
      <w:r w:rsidR="00E6545D">
        <w:rPr>
          <w:lang w:val="en-US"/>
        </w:rPr>
        <w:t>2</w:t>
      </w:r>
      <w:r>
        <w:rPr>
          <w:lang w:val="en-US"/>
        </w:rPr>
        <w:tab/>
        <w:t>Delay reporting operation and triggers</w:t>
      </w:r>
    </w:p>
    <w:p w14:paraId="376723BC" w14:textId="4013CF20" w:rsidR="00544556" w:rsidRPr="007A4137" w:rsidRDefault="00A4623E" w:rsidP="000F41AF">
      <w:pPr>
        <w:rPr>
          <w:rFonts w:ascii="Arial" w:hAnsi="Arial"/>
          <w:lang w:val="en-US"/>
        </w:rPr>
      </w:pPr>
      <w:r>
        <w:rPr>
          <w:rFonts w:ascii="Arial" w:hAnsi="Arial"/>
          <w:lang w:val="en-US"/>
        </w:rPr>
        <w:t xml:space="preserve">As the simulations show </w:t>
      </w:r>
      <w:r w:rsidR="00E00AE4">
        <w:rPr>
          <w:rFonts w:ascii="Arial" w:hAnsi="Arial"/>
          <w:lang w:val="en-US"/>
        </w:rPr>
        <w:t xml:space="preserve">[2] early delay information is important for the scheduler to do smart </w:t>
      </w:r>
      <w:r w:rsidR="002E6E42">
        <w:rPr>
          <w:rFonts w:ascii="Arial" w:hAnsi="Arial"/>
          <w:lang w:val="en-US"/>
        </w:rPr>
        <w:t>selection</w:t>
      </w:r>
      <w:r w:rsidR="00E00AE4">
        <w:rPr>
          <w:rFonts w:ascii="Arial" w:hAnsi="Arial"/>
          <w:lang w:val="en-US"/>
        </w:rPr>
        <w:t xml:space="preserve"> of users. Thus the delay information should be reported as early as possible</w:t>
      </w:r>
      <w:r w:rsidR="00FC54C8">
        <w:rPr>
          <w:rFonts w:ascii="Arial" w:hAnsi="Arial"/>
          <w:lang w:val="en-US"/>
        </w:rPr>
        <w:t xml:space="preserve">, preferably it is already included in the first </w:t>
      </w:r>
      <w:r w:rsidR="00466704">
        <w:rPr>
          <w:rFonts w:ascii="Arial" w:hAnsi="Arial"/>
          <w:lang w:val="en-US"/>
        </w:rPr>
        <w:t xml:space="preserve">BSR </w:t>
      </w:r>
      <w:r w:rsidR="00FC54C8">
        <w:rPr>
          <w:rFonts w:ascii="Arial" w:hAnsi="Arial"/>
          <w:lang w:val="en-US"/>
        </w:rPr>
        <w:t xml:space="preserve">that is sent when new data is being reported. </w:t>
      </w:r>
      <w:r w:rsidR="00D63973">
        <w:rPr>
          <w:rFonts w:ascii="Arial" w:hAnsi="Arial"/>
          <w:lang w:val="en-US"/>
        </w:rPr>
        <w:t xml:space="preserve">Then </w:t>
      </w:r>
      <w:r w:rsidR="00044752">
        <w:rPr>
          <w:rFonts w:ascii="Arial" w:hAnsi="Arial"/>
          <w:lang w:val="en-US"/>
        </w:rPr>
        <w:t>if</w:t>
      </w:r>
      <w:r w:rsidR="00D63973">
        <w:rPr>
          <w:rFonts w:ascii="Arial" w:hAnsi="Arial"/>
          <w:lang w:val="en-US"/>
        </w:rPr>
        <w:t xml:space="preserve"> data has </w:t>
      </w:r>
      <w:r w:rsidR="00044752">
        <w:rPr>
          <w:rFonts w:ascii="Arial" w:hAnsi="Arial"/>
          <w:lang w:val="en-US"/>
        </w:rPr>
        <w:t>waited</w:t>
      </w:r>
      <w:r w:rsidR="00D63973">
        <w:rPr>
          <w:rFonts w:ascii="Arial" w:hAnsi="Arial"/>
          <w:lang w:val="en-US"/>
        </w:rPr>
        <w:t xml:space="preserve"> </w:t>
      </w:r>
      <w:r w:rsidR="002E6E42">
        <w:rPr>
          <w:rFonts w:ascii="Arial" w:hAnsi="Arial"/>
          <w:lang w:val="en-US"/>
        </w:rPr>
        <w:t xml:space="preserve">a while in the </w:t>
      </w:r>
      <w:r w:rsidR="00D63973">
        <w:rPr>
          <w:rFonts w:ascii="Arial" w:hAnsi="Arial"/>
          <w:lang w:val="en-US"/>
        </w:rPr>
        <w:t>buffer and gets closer to deadline new BSR reports should include the updated delay values</w:t>
      </w:r>
      <w:r w:rsidR="00956822">
        <w:rPr>
          <w:rFonts w:ascii="Arial" w:hAnsi="Arial"/>
          <w:lang w:val="en-US"/>
        </w:rPr>
        <w:t xml:space="preserve"> since </w:t>
      </w:r>
      <w:r w:rsidR="00795E65">
        <w:rPr>
          <w:rFonts w:ascii="Arial" w:hAnsi="Arial"/>
          <w:lang w:val="en-US"/>
        </w:rPr>
        <w:t xml:space="preserve">this provides </w:t>
      </w:r>
      <w:r w:rsidR="00044752">
        <w:rPr>
          <w:rFonts w:ascii="Arial" w:hAnsi="Arial"/>
          <w:lang w:val="en-US"/>
        </w:rPr>
        <w:t>network with more</w:t>
      </w:r>
      <w:r w:rsidR="00795E65">
        <w:rPr>
          <w:rFonts w:ascii="Arial" w:hAnsi="Arial"/>
          <w:lang w:val="en-US"/>
        </w:rPr>
        <w:t xml:space="preserve"> accurate </w:t>
      </w:r>
      <w:r w:rsidR="00044752">
        <w:rPr>
          <w:rFonts w:ascii="Arial" w:hAnsi="Arial"/>
          <w:lang w:val="en-US"/>
        </w:rPr>
        <w:t xml:space="preserve">updates of the </w:t>
      </w:r>
      <w:r w:rsidR="00795E65">
        <w:rPr>
          <w:rFonts w:ascii="Arial" w:hAnsi="Arial"/>
          <w:lang w:val="en-US"/>
        </w:rPr>
        <w:t>information.</w:t>
      </w:r>
      <w:r w:rsidR="00044752">
        <w:rPr>
          <w:rFonts w:ascii="Arial" w:hAnsi="Arial"/>
          <w:lang w:val="en-US"/>
        </w:rPr>
        <w:t xml:space="preserve"> The frequency of the </w:t>
      </w:r>
      <w:r w:rsidR="00837D29">
        <w:rPr>
          <w:rFonts w:ascii="Arial" w:hAnsi="Arial"/>
          <w:lang w:val="en-US"/>
        </w:rPr>
        <w:t xml:space="preserve">BSR reporting could be controlled by periodic BSR configuration or by </w:t>
      </w:r>
      <w:r w:rsidR="00544556">
        <w:rPr>
          <w:rFonts w:ascii="Arial" w:hAnsi="Arial"/>
          <w:lang w:val="en-US"/>
        </w:rPr>
        <w:t>triggering BSR when buffered data enters different delay buckets</w:t>
      </w:r>
      <w:r w:rsidR="00D2638B">
        <w:rPr>
          <w:rFonts w:ascii="Arial" w:hAnsi="Arial"/>
          <w:lang w:val="en-US"/>
        </w:rPr>
        <w:t xml:space="preserve"> where there is not already</w:t>
      </w:r>
      <w:r w:rsidR="007A4137">
        <w:rPr>
          <w:rFonts w:ascii="Arial" w:hAnsi="Arial"/>
          <w:lang w:val="en-US"/>
        </w:rPr>
        <w:t xml:space="preserve"> </w:t>
      </w:r>
      <w:r w:rsidR="00652B40">
        <w:rPr>
          <w:rFonts w:ascii="Arial" w:hAnsi="Arial"/>
          <w:lang w:val="en-US"/>
        </w:rPr>
        <w:t>data</w:t>
      </w:r>
      <w:r w:rsidR="00544556">
        <w:rPr>
          <w:rFonts w:ascii="Arial" w:hAnsi="Arial"/>
          <w:lang w:val="en-US"/>
        </w:rPr>
        <w:t>.</w:t>
      </w:r>
      <w:r w:rsidR="000F41AF" w:rsidRPr="007A4137">
        <w:rPr>
          <w:lang w:val="en-US"/>
        </w:rPr>
        <w:t xml:space="preserve"> </w:t>
      </w:r>
    </w:p>
    <w:p w14:paraId="02D905CD" w14:textId="6E944857" w:rsidR="0067181C" w:rsidRPr="007A4137" w:rsidRDefault="0067181C" w:rsidP="009C7791">
      <w:pPr>
        <w:pStyle w:val="Proposal"/>
        <w:rPr>
          <w:lang w:val="en-US"/>
        </w:rPr>
      </w:pPr>
      <w:bookmarkStart w:id="214" w:name="_Toc142603365"/>
      <w:r>
        <w:rPr>
          <w:lang w:val="en-US"/>
        </w:rPr>
        <w:t xml:space="preserve">Delay reporting is triggered when </w:t>
      </w:r>
      <w:r w:rsidR="00230A38">
        <w:rPr>
          <w:lang w:val="en-US"/>
        </w:rPr>
        <w:t xml:space="preserve">data </w:t>
      </w:r>
      <w:r w:rsidR="00360DC2">
        <w:rPr>
          <w:lang w:val="en-US"/>
        </w:rPr>
        <w:t xml:space="preserve">enters </w:t>
      </w:r>
      <w:r w:rsidR="001967DF">
        <w:rPr>
          <w:lang w:val="en-US"/>
        </w:rPr>
        <w:t>a</w:t>
      </w:r>
      <w:r w:rsidR="00D2638B">
        <w:rPr>
          <w:lang w:val="en-US"/>
        </w:rPr>
        <w:t xml:space="preserve">n empty delay </w:t>
      </w:r>
      <w:r w:rsidR="001967DF">
        <w:rPr>
          <w:lang w:val="en-US"/>
        </w:rPr>
        <w:t>bucket. The buckets which trigger the delay reporting are configured by the network</w:t>
      </w:r>
      <w:r w:rsidR="0025583B">
        <w:rPr>
          <w:lang w:val="en-US"/>
        </w:rPr>
        <w:t>.</w:t>
      </w:r>
      <w:bookmarkEnd w:id="214"/>
    </w:p>
    <w:p w14:paraId="77DAB4EB" w14:textId="77777777" w:rsidR="004C7F69" w:rsidRDefault="004C7F69" w:rsidP="009C7791">
      <w:pPr>
        <w:rPr>
          <w:rFonts w:ascii="Arial" w:hAnsi="Arial"/>
          <w:lang w:val="en-US"/>
        </w:rPr>
      </w:pPr>
    </w:p>
    <w:p w14:paraId="2A5D383B" w14:textId="27DE04AA" w:rsidR="009C7791" w:rsidRPr="00811AEE" w:rsidRDefault="00BE6DC1" w:rsidP="009C7791">
      <w:pPr>
        <w:rPr>
          <w:rFonts w:ascii="Arial" w:hAnsi="Arial"/>
          <w:lang w:val="en-US"/>
        </w:rPr>
      </w:pPr>
      <w:r>
        <w:rPr>
          <w:rFonts w:ascii="Arial" w:hAnsi="Arial"/>
          <w:lang w:val="en-US"/>
        </w:rPr>
        <w:t>It has been agreed that the UE calculates the remaining time based on the PDCP discard timer value. These calculated values for the different PDU sets in the different logical channels can then be reported according to our bucket model.</w:t>
      </w:r>
    </w:p>
    <w:p w14:paraId="11B4CE3F" w14:textId="4A4284EA" w:rsidR="00672D77" w:rsidRPr="00A60067" w:rsidRDefault="00672D77" w:rsidP="00A60067">
      <w:pPr>
        <w:pStyle w:val="Proposal"/>
        <w:tabs>
          <w:tab w:val="clear" w:pos="3554"/>
          <w:tab w:val="num" w:pos="3686"/>
        </w:tabs>
        <w:ind w:left="1276"/>
        <w:rPr>
          <w:lang w:val="en-US"/>
        </w:rPr>
      </w:pPr>
      <w:bookmarkStart w:id="215" w:name="_Toc138767682"/>
      <w:bookmarkStart w:id="216" w:name="_Toc138767749"/>
      <w:bookmarkStart w:id="217" w:name="_Toc138767816"/>
      <w:bookmarkStart w:id="218" w:name="_Toc142591157"/>
      <w:bookmarkStart w:id="219" w:name="_Toc142603162"/>
      <w:bookmarkStart w:id="220" w:name="_Toc142603230"/>
      <w:bookmarkStart w:id="221" w:name="_Toc142603298"/>
      <w:bookmarkStart w:id="222" w:name="_Toc142603366"/>
      <w:bookmarkStart w:id="223" w:name="_Toc142603367"/>
      <w:bookmarkEnd w:id="215"/>
      <w:bookmarkEnd w:id="216"/>
      <w:bookmarkEnd w:id="217"/>
      <w:bookmarkEnd w:id="218"/>
      <w:bookmarkEnd w:id="219"/>
      <w:bookmarkEnd w:id="220"/>
      <w:bookmarkEnd w:id="221"/>
      <w:bookmarkEnd w:id="222"/>
      <w:r>
        <w:rPr>
          <w:lang w:val="en-US"/>
        </w:rPr>
        <w:t>The UE reports the buffer status in each of the delay/latency buckets.</w:t>
      </w:r>
      <w:bookmarkEnd w:id="223"/>
    </w:p>
    <w:p w14:paraId="425BE8EC" w14:textId="17D25087" w:rsidR="00901584" w:rsidRDefault="00901584" w:rsidP="00414541">
      <w:pPr>
        <w:rPr>
          <w:b/>
          <w:bCs/>
        </w:rPr>
      </w:pPr>
    </w:p>
    <w:p w14:paraId="1945872E" w14:textId="75896ABE" w:rsidR="00A844AF" w:rsidRDefault="00A844AF" w:rsidP="00A844AF">
      <w:pPr>
        <w:pStyle w:val="Heading3"/>
        <w:rPr>
          <w:lang w:val="en-US"/>
        </w:rPr>
      </w:pPr>
      <w:bookmarkStart w:id="224" w:name="_Ref134189644"/>
      <w:r w:rsidRPr="00EB2D65">
        <w:rPr>
          <w:lang w:val="en-US"/>
        </w:rPr>
        <w:t>2.2.</w:t>
      </w:r>
      <w:r w:rsidR="00E6545D">
        <w:rPr>
          <w:lang w:val="en-US"/>
        </w:rPr>
        <w:t>3</w:t>
      </w:r>
      <w:r w:rsidRPr="00EB2D65">
        <w:rPr>
          <w:lang w:val="en-US"/>
        </w:rPr>
        <w:tab/>
      </w:r>
      <w:r>
        <w:rPr>
          <w:lang w:val="en-US"/>
        </w:rPr>
        <w:t>Delay reporting</w:t>
      </w:r>
      <w:r w:rsidRPr="00EB2D65">
        <w:rPr>
          <w:lang w:val="en-US"/>
        </w:rPr>
        <w:t xml:space="preserve"> format</w:t>
      </w:r>
      <w:bookmarkEnd w:id="224"/>
    </w:p>
    <w:p w14:paraId="079D8FFC" w14:textId="20144E09" w:rsidR="006E6AE3" w:rsidRDefault="00B17B2F" w:rsidP="00ED1790">
      <w:pPr>
        <w:pStyle w:val="Heading4"/>
        <w:rPr>
          <w:lang w:val="en-US"/>
        </w:rPr>
      </w:pPr>
      <w:r>
        <w:rPr>
          <w:lang w:val="en-US"/>
        </w:rPr>
        <w:t>New s</w:t>
      </w:r>
      <w:r w:rsidR="006E6AE3">
        <w:rPr>
          <w:lang w:val="en-US"/>
        </w:rPr>
        <w:t xml:space="preserve">hort </w:t>
      </w:r>
      <w:r>
        <w:rPr>
          <w:lang w:val="en-US"/>
        </w:rPr>
        <w:t>d</w:t>
      </w:r>
      <w:r w:rsidR="00ED1790">
        <w:rPr>
          <w:lang w:val="en-US"/>
        </w:rPr>
        <w:t>elay reporting</w:t>
      </w:r>
    </w:p>
    <w:p w14:paraId="245BC2D0" w14:textId="6D24922E" w:rsidR="00440890" w:rsidRDefault="006D22C5" w:rsidP="006D22C5">
      <w:pPr>
        <w:pStyle w:val="BodyText"/>
        <w:rPr>
          <w:lang w:val="en-US"/>
        </w:rPr>
      </w:pPr>
      <w:r>
        <w:rPr>
          <w:lang w:val="en-US"/>
        </w:rPr>
        <w:t xml:space="preserve">For short delay reporting, it is important to keep </w:t>
      </w:r>
      <w:r w:rsidR="005144E9">
        <w:rPr>
          <w:lang w:val="en-US"/>
        </w:rPr>
        <w:t xml:space="preserve">the overhead limited. Thus, the simplest solution </w:t>
      </w:r>
      <w:r w:rsidR="00424676">
        <w:rPr>
          <w:lang w:val="en-US"/>
        </w:rPr>
        <w:t xml:space="preserve">would apply a similar solution as the legacy short truncated BSR. </w:t>
      </w:r>
      <w:r w:rsidR="00E4512F">
        <w:rPr>
          <w:lang w:val="en-US"/>
        </w:rPr>
        <w:t xml:space="preserve">This would result in that </w:t>
      </w:r>
      <w:r w:rsidR="009C091A">
        <w:rPr>
          <w:lang w:val="en-US"/>
        </w:rPr>
        <w:t>the short delay reporting would indicate the</w:t>
      </w:r>
      <w:r w:rsidR="00AC44AB">
        <w:rPr>
          <w:lang w:val="en-US"/>
        </w:rPr>
        <w:t xml:space="preserve"> highest priority LCG which has data in </w:t>
      </w:r>
      <w:r w:rsidR="00A43981">
        <w:rPr>
          <w:lang w:val="en-US"/>
        </w:rPr>
        <w:t>a</w:t>
      </w:r>
      <w:r w:rsidR="00AC44AB">
        <w:rPr>
          <w:lang w:val="en-US"/>
        </w:rPr>
        <w:t xml:space="preserve"> </w:t>
      </w:r>
      <w:r w:rsidR="00A43981">
        <w:rPr>
          <w:lang w:val="en-US"/>
        </w:rPr>
        <w:t>specified</w:t>
      </w:r>
      <w:r w:rsidR="00AC44AB">
        <w:rPr>
          <w:lang w:val="en-US"/>
        </w:rPr>
        <w:t xml:space="preserve"> bucket</w:t>
      </w:r>
      <w:r w:rsidR="00A43981">
        <w:rPr>
          <w:lang w:val="en-US"/>
        </w:rPr>
        <w:t xml:space="preserve"> (configured by the network)</w:t>
      </w:r>
      <w:r w:rsidR="00AC44AB">
        <w:rPr>
          <w:lang w:val="en-US"/>
        </w:rPr>
        <w:t xml:space="preserve">. </w:t>
      </w:r>
      <w:r w:rsidR="00440890">
        <w:rPr>
          <w:lang w:val="en-US"/>
        </w:rPr>
        <w:t xml:space="preserve">This is the reason why the bucket sizes for short delay and long delay reporting would be different. </w:t>
      </w:r>
    </w:p>
    <w:p w14:paraId="5F8ACD06" w14:textId="649A11CE" w:rsidR="0063435A" w:rsidRDefault="009A28FA" w:rsidP="0063435A">
      <w:pPr>
        <w:pStyle w:val="Proposal"/>
        <w:rPr>
          <w:lang w:val="en-US"/>
        </w:rPr>
      </w:pPr>
      <w:bookmarkStart w:id="225" w:name="_Toc142603368"/>
      <w:r>
        <w:rPr>
          <w:lang w:val="en-US"/>
        </w:rPr>
        <w:t>A short delay reporting is introduced. Its format is the same as the legacy BSR</w:t>
      </w:r>
      <w:r w:rsidR="0025583B">
        <w:rPr>
          <w:lang w:val="en-US"/>
        </w:rPr>
        <w:t>.</w:t>
      </w:r>
      <w:bookmarkEnd w:id="225"/>
    </w:p>
    <w:p w14:paraId="5933DF32" w14:textId="23FCB093" w:rsidR="009A28FA" w:rsidRPr="00440890" w:rsidRDefault="009A28FA" w:rsidP="0063435A">
      <w:pPr>
        <w:pStyle w:val="Proposal"/>
        <w:rPr>
          <w:lang w:val="en-US"/>
        </w:rPr>
      </w:pPr>
      <w:bookmarkStart w:id="226" w:name="_Toc142603369"/>
      <w:r>
        <w:rPr>
          <w:lang w:val="en-US"/>
        </w:rPr>
        <w:t xml:space="preserve">A short delay reporting indicates the highest priority LCG configured with delay reporting </w:t>
      </w:r>
      <w:r w:rsidR="006E722A">
        <w:rPr>
          <w:lang w:val="en-US"/>
        </w:rPr>
        <w:t xml:space="preserve">which has data in </w:t>
      </w:r>
      <w:r w:rsidR="00017DF8">
        <w:rPr>
          <w:lang w:val="en-US"/>
        </w:rPr>
        <w:t>a</w:t>
      </w:r>
      <w:r w:rsidR="006E722A">
        <w:rPr>
          <w:lang w:val="en-US"/>
        </w:rPr>
        <w:t xml:space="preserve"> bucket</w:t>
      </w:r>
      <w:r w:rsidR="00017DF8">
        <w:rPr>
          <w:lang w:val="en-US"/>
        </w:rPr>
        <w:t xml:space="preserve"> configured by the network</w:t>
      </w:r>
      <w:r w:rsidR="006E722A">
        <w:rPr>
          <w:lang w:val="en-US"/>
        </w:rPr>
        <w:t>.</w:t>
      </w:r>
      <w:bookmarkEnd w:id="226"/>
    </w:p>
    <w:p w14:paraId="735C9F5E" w14:textId="6379C3C5" w:rsidR="00ED1790" w:rsidRPr="006E6AE3" w:rsidRDefault="00B17B2F" w:rsidP="00ED1790">
      <w:pPr>
        <w:pStyle w:val="Heading4"/>
        <w:rPr>
          <w:lang w:val="en-US"/>
        </w:rPr>
      </w:pPr>
      <w:r>
        <w:rPr>
          <w:lang w:val="en-US"/>
        </w:rPr>
        <w:t>New l</w:t>
      </w:r>
      <w:r w:rsidR="00ED1790">
        <w:rPr>
          <w:lang w:val="en-US"/>
        </w:rPr>
        <w:t xml:space="preserve">ong </w:t>
      </w:r>
      <w:r>
        <w:rPr>
          <w:lang w:val="en-US"/>
        </w:rPr>
        <w:t>d</w:t>
      </w:r>
      <w:r w:rsidR="00ED1790">
        <w:rPr>
          <w:lang w:val="en-US"/>
        </w:rPr>
        <w:t>elay reporting</w:t>
      </w:r>
    </w:p>
    <w:p w14:paraId="7A67FCCB" w14:textId="78BCCEFC" w:rsidR="00A844AF" w:rsidRDefault="00CC0C52" w:rsidP="00860171">
      <w:pPr>
        <w:pStyle w:val="BodyText"/>
      </w:pPr>
      <w:r>
        <w:t xml:space="preserve">It would be ideal that the delay reporting is as similar as possible to the BSR reporting adding, on top, a delay indication e.g., an index. </w:t>
      </w:r>
      <w:r w:rsidR="00790732">
        <w:t xml:space="preserve">Some companies suggested to report </w:t>
      </w:r>
      <w:r w:rsidR="00F43DD5">
        <w:t>1 bucket, the most priority one. This solution would require</w:t>
      </w:r>
      <w:r w:rsidR="00BD5261">
        <w:t xml:space="preserve"> at least</w:t>
      </w:r>
      <w:r w:rsidR="00790732">
        <w:t xml:space="preserve"> 1 bit </w:t>
      </w:r>
      <w:r w:rsidR="00BD5261">
        <w:t xml:space="preserve">to indicate if BS report for the bucket is included or not. Adding 1 bit will, in any case, lead to add one extra byte in the format, if the BS format is used as a baseline. </w:t>
      </w:r>
      <w:r w:rsidR="00DE2B46">
        <w:t xml:space="preserve">Thus, if one extra byte is added, </w:t>
      </w:r>
      <w:r w:rsidR="0042434C">
        <w:t>it is better to report all buckets which have data</w:t>
      </w:r>
      <w:r w:rsidR="00DE2B46">
        <w:t>.</w:t>
      </w:r>
    </w:p>
    <w:p w14:paraId="53AFDA4A" w14:textId="183323B3" w:rsidR="00FB3A2C" w:rsidRDefault="00FB3A2C" w:rsidP="00860171">
      <w:pPr>
        <w:pStyle w:val="BodyText"/>
      </w:pPr>
      <w:r>
        <w:t xml:space="preserve">There are multiple possible formats to convey bucket and </w:t>
      </w:r>
      <w:r w:rsidR="00D035FF">
        <w:t xml:space="preserve">buffer status. </w:t>
      </w:r>
      <w:r w:rsidR="00792218">
        <w:t xml:space="preserve">Here we show the formats which comply with </w:t>
      </w:r>
      <w:r w:rsidR="009E1B08">
        <w:t>that the report should include multiple buckets, an indication of the table, and the buffer size for each of those.</w:t>
      </w:r>
    </w:p>
    <w:p w14:paraId="279E3A07" w14:textId="58DE771E" w:rsidR="007D28CD" w:rsidRDefault="0097531F" w:rsidP="00860171">
      <w:pPr>
        <w:pStyle w:val="BodyText"/>
      </w:pPr>
      <w:r>
        <w:t>For each LCG that has been configured with “delay reporting”, when the LCG has data, the reporting will include</w:t>
      </w:r>
      <w:r w:rsidR="000F56C3">
        <w:t xml:space="preserve"> two fields indicating the presence of the buffer status for a bucket, and the table used for that buffer status. </w:t>
      </w:r>
      <w:r w:rsidR="00787F24">
        <w:fldChar w:fldCharType="begin"/>
      </w:r>
      <w:r w:rsidR="00787F24">
        <w:instrText xml:space="preserve"> REF _Ref134022730 \h </w:instrText>
      </w:r>
      <w:r w:rsidR="00787F24">
        <w:fldChar w:fldCharType="separate"/>
      </w:r>
      <w:r w:rsidR="00EF5C41">
        <w:t xml:space="preserve">Figure </w:t>
      </w:r>
      <w:r w:rsidR="00EF5C41">
        <w:rPr>
          <w:noProof/>
        </w:rPr>
        <w:t>2</w:t>
      </w:r>
      <w:r w:rsidR="00787F24">
        <w:fldChar w:fldCharType="end"/>
      </w:r>
      <w:r w:rsidR="00182C53">
        <w:t xml:space="preserve"> exemplifies how the format would look like</w:t>
      </w:r>
      <w:r w:rsidR="00CA141B">
        <w:t xml:space="preserve"> when</w:t>
      </w:r>
      <w:r w:rsidR="005B1407">
        <w:t xml:space="preserve"> one LCG has been configure</w:t>
      </w:r>
      <w:r w:rsidR="00A4773E">
        <w:t>d</w:t>
      </w:r>
      <w:r w:rsidR="005B1407">
        <w:t xml:space="preserve"> with delay reporting format, </w:t>
      </w:r>
      <w:r w:rsidR="00CA141B">
        <w:t>there are</w:t>
      </w:r>
      <w:r w:rsidR="007B61B3">
        <w:t xml:space="preserve"> </w:t>
      </w:r>
      <w:r w:rsidR="00182C53">
        <w:t xml:space="preserve">8 buckets </w:t>
      </w:r>
      <w:r w:rsidR="00CA141B" w:rsidRPr="00A4773E">
        <w:t xml:space="preserve">and </w:t>
      </w:r>
      <w:r w:rsidR="00787F24" w:rsidRPr="00A4773E">
        <w:t>the</w:t>
      </w:r>
      <w:r w:rsidR="00CA141B" w:rsidRPr="00A4773E">
        <w:t xml:space="preserve"> new table </w:t>
      </w:r>
      <w:r w:rsidR="00A4773E" w:rsidRPr="00A4773E">
        <w:t xml:space="preserve">or </w:t>
      </w:r>
      <w:r w:rsidR="00787F24" w:rsidRPr="00A4773E">
        <w:t xml:space="preserve">the </w:t>
      </w:r>
      <w:r w:rsidR="00CA141B" w:rsidRPr="00A4773E">
        <w:t>legacy table</w:t>
      </w:r>
      <w:r w:rsidR="00CA141B">
        <w:t xml:space="preserve"> can be indicated for each of the buckets. </w:t>
      </w:r>
      <w:r w:rsidR="009D1BB6">
        <w:t>If all buckets would contain data, 8 1-byte BS fields would follow.</w:t>
      </w:r>
    </w:p>
    <w:p w14:paraId="01D30E06" w14:textId="2AE95E5C" w:rsidR="00F33F7B" w:rsidRDefault="00140F26" w:rsidP="00860171">
      <w:pPr>
        <w:pStyle w:val="BodyText"/>
      </w:pPr>
      <w:r>
        <w:t>For most of the cases, only few LCGs will be configured with delay reporting</w:t>
      </w:r>
      <w:r w:rsidR="003363B5">
        <w:t xml:space="preserve"> and that means that in most of the cases, the overhead would be limited to 2 bytes</w:t>
      </w:r>
      <w:r w:rsidR="00CC2EF6">
        <w:t xml:space="preserve"> per LCG which was configured with delay reporting.</w:t>
      </w:r>
      <w:r w:rsidR="000B3EFA">
        <w:t xml:space="preserve"> </w:t>
      </w:r>
      <w:r w:rsidR="000B3EFA">
        <w:fldChar w:fldCharType="begin"/>
      </w:r>
      <w:r w:rsidR="000B3EFA">
        <w:instrText xml:space="preserve"> REF _Ref134184178 \h </w:instrText>
      </w:r>
      <w:r w:rsidR="000B3EFA">
        <w:fldChar w:fldCharType="separate"/>
      </w:r>
      <w:r w:rsidR="00EF5C41">
        <w:t xml:space="preserve">Figure </w:t>
      </w:r>
      <w:r w:rsidR="00EF5C41">
        <w:rPr>
          <w:noProof/>
        </w:rPr>
        <w:t>3</w:t>
      </w:r>
      <w:r w:rsidR="000B3EFA">
        <w:fldChar w:fldCharType="end"/>
      </w:r>
      <w:r w:rsidR="000B3EFA">
        <w:t xml:space="preserve"> shows an example in which all buckets contain data. However, when a bucket does not contain data the corresponding </w:t>
      </w:r>
      <w:r w:rsidR="005920E6">
        <w:rPr>
          <w:lang w:val="en-US"/>
        </w:rPr>
        <w:t>T</w:t>
      </w:r>
      <w:r w:rsidR="005920E6">
        <w:rPr>
          <w:vertAlign w:val="subscript"/>
          <w:lang w:val="en-US"/>
        </w:rPr>
        <w:t>i</w:t>
      </w:r>
      <w:r w:rsidR="005920E6">
        <w:rPr>
          <w:lang w:val="en-US"/>
        </w:rPr>
        <w:t xml:space="preserve"> </w:t>
      </w:r>
      <w:r w:rsidR="000B3EFA">
        <w:t>field would not be present.</w:t>
      </w:r>
      <w:r w:rsidR="00AE2319">
        <w:t xml:space="preserve"> </w:t>
      </w:r>
      <w:r w:rsidR="00AE2319" w:rsidRPr="005443F3">
        <w:t xml:space="preserve">BS fields would follow after the </w:t>
      </w:r>
      <w:r w:rsidR="005920E6" w:rsidRPr="005443F3">
        <w:rPr>
          <w:lang w:val="en-US"/>
        </w:rPr>
        <w:t>T</w:t>
      </w:r>
      <w:r w:rsidR="005920E6" w:rsidRPr="005443F3">
        <w:rPr>
          <w:vertAlign w:val="subscript"/>
          <w:lang w:val="en-US"/>
        </w:rPr>
        <w:t>i</w:t>
      </w:r>
      <w:r w:rsidR="005920E6" w:rsidRPr="005443F3">
        <w:rPr>
          <w:lang w:val="en-US"/>
        </w:rPr>
        <w:t xml:space="preserve"> </w:t>
      </w:r>
      <w:r w:rsidR="003049BA" w:rsidRPr="005443F3">
        <w:t>bits.</w:t>
      </w:r>
    </w:p>
    <w:p w14:paraId="131A9672" w14:textId="77777777" w:rsidR="007B61B3" w:rsidRDefault="007B61B3" w:rsidP="00860171">
      <w:pPr>
        <w:pStyle w:val="BodyText"/>
      </w:pPr>
    </w:p>
    <w:p w14:paraId="67FA80CB" w14:textId="09E7C06A" w:rsidR="00182C53" w:rsidRDefault="00462C78" w:rsidP="0058510F">
      <w:pPr>
        <w:pStyle w:val="BodyText"/>
        <w:keepNext/>
        <w:jc w:val="center"/>
      </w:pPr>
      <w:r>
        <w:rPr>
          <w:noProof/>
        </w:rPr>
        <w:drawing>
          <wp:inline distT="0" distB="0" distL="0" distR="0" wp14:anchorId="0561AA60" wp14:editId="09DAB643">
            <wp:extent cx="2942932" cy="1620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5206" cy="1632785"/>
                    </a:xfrm>
                    <a:prstGeom prst="rect">
                      <a:avLst/>
                    </a:prstGeom>
                    <a:noFill/>
                  </pic:spPr>
                </pic:pic>
              </a:graphicData>
            </a:graphic>
          </wp:inline>
        </w:drawing>
      </w:r>
    </w:p>
    <w:p w14:paraId="6A1DB835" w14:textId="1ACD4893" w:rsidR="007B61B3" w:rsidRDefault="00182C53" w:rsidP="0058510F">
      <w:pPr>
        <w:pStyle w:val="Caption"/>
        <w:jc w:val="center"/>
      </w:pPr>
      <w:bookmarkStart w:id="227" w:name="_Ref134184178"/>
      <w:r>
        <w:t xml:space="preserve">Figure </w:t>
      </w:r>
      <w:r w:rsidR="004826B5">
        <w:fldChar w:fldCharType="begin"/>
      </w:r>
      <w:r w:rsidR="004826B5">
        <w:instrText xml:space="preserve"> SEQ Figure \* ARABIC </w:instrText>
      </w:r>
      <w:r w:rsidR="004826B5">
        <w:fldChar w:fldCharType="separate"/>
      </w:r>
      <w:r w:rsidR="00EF5C41">
        <w:rPr>
          <w:noProof/>
        </w:rPr>
        <w:t>3</w:t>
      </w:r>
      <w:r w:rsidR="004826B5">
        <w:rPr>
          <w:noProof/>
        </w:rPr>
        <w:fldChar w:fldCharType="end"/>
      </w:r>
      <w:bookmarkEnd w:id="227"/>
      <w:r w:rsidR="009D1BB6">
        <w:t xml:space="preserve"> – Delay reporting format</w:t>
      </w:r>
    </w:p>
    <w:p w14:paraId="2DF7F678" w14:textId="77777777" w:rsidR="00FB3A2C" w:rsidRDefault="00FB3A2C" w:rsidP="00860171">
      <w:pPr>
        <w:pStyle w:val="BodyText"/>
      </w:pPr>
    </w:p>
    <w:p w14:paraId="7553B363" w14:textId="7B2626F1" w:rsidR="00FE43D7" w:rsidRDefault="005713B1" w:rsidP="00860171">
      <w:pPr>
        <w:pStyle w:val="BodyText"/>
      </w:pPr>
      <w:r>
        <w:t>Below is an example of a report for three LCGs. The first LCG only reports buffer status, the second LCG reports delay and buffer status in two buckets and the third LCG reports delay and buffer status in three buckets.</w:t>
      </w:r>
    </w:p>
    <w:p w14:paraId="55AB2834" w14:textId="77777777" w:rsidR="007C096E" w:rsidRDefault="007C096E" w:rsidP="00860171">
      <w:pPr>
        <w:pStyle w:val="BodyText"/>
      </w:pPr>
    </w:p>
    <w:p w14:paraId="20D47DCC" w14:textId="5FEFA26C" w:rsidR="008327F5" w:rsidRDefault="007865F9" w:rsidP="008327F5">
      <w:pPr>
        <w:pStyle w:val="BodyText"/>
        <w:keepNext/>
        <w:jc w:val="center"/>
      </w:pPr>
      <w:r>
        <w:rPr>
          <w:noProof/>
        </w:rPr>
        <w:drawing>
          <wp:inline distT="0" distB="0" distL="0" distR="0" wp14:anchorId="7BE6D7A3" wp14:editId="7F99CB8E">
            <wp:extent cx="2987040" cy="4413885"/>
            <wp:effectExtent l="0" t="0" r="381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7040" cy="4413885"/>
                    </a:xfrm>
                    <a:prstGeom prst="rect">
                      <a:avLst/>
                    </a:prstGeom>
                    <a:noFill/>
                  </pic:spPr>
                </pic:pic>
              </a:graphicData>
            </a:graphic>
          </wp:inline>
        </w:drawing>
      </w:r>
    </w:p>
    <w:p w14:paraId="7BBC95A8" w14:textId="64CE06BB" w:rsidR="007C096E" w:rsidRDefault="008327F5" w:rsidP="008327F5">
      <w:pPr>
        <w:pStyle w:val="Caption"/>
        <w:jc w:val="center"/>
      </w:pPr>
      <w:bookmarkStart w:id="228" w:name="_Ref134185002"/>
      <w:r>
        <w:t xml:space="preserve">Figure </w:t>
      </w:r>
      <w:r w:rsidR="004826B5">
        <w:fldChar w:fldCharType="begin"/>
      </w:r>
      <w:r w:rsidR="004826B5">
        <w:instrText xml:space="preserve"> SEQ Figure \* ARABIC </w:instrText>
      </w:r>
      <w:r w:rsidR="004826B5">
        <w:fldChar w:fldCharType="separate"/>
      </w:r>
      <w:r w:rsidR="00EF5C41">
        <w:rPr>
          <w:noProof/>
        </w:rPr>
        <w:t>4</w:t>
      </w:r>
      <w:r w:rsidR="004826B5">
        <w:rPr>
          <w:noProof/>
        </w:rPr>
        <w:fldChar w:fldCharType="end"/>
      </w:r>
      <w:bookmarkEnd w:id="228"/>
      <w:r w:rsidR="00976E97">
        <w:rPr>
          <w:noProof/>
        </w:rPr>
        <w:t xml:space="preserve"> – </w:t>
      </w:r>
      <w:r w:rsidR="00807D07">
        <w:rPr>
          <w:noProof/>
        </w:rPr>
        <w:t>Example of the d</w:t>
      </w:r>
      <w:r w:rsidR="00976E97">
        <w:rPr>
          <w:noProof/>
        </w:rPr>
        <w:t>elay reporting format</w:t>
      </w:r>
    </w:p>
    <w:p w14:paraId="38ECD5A3" w14:textId="77777777" w:rsidR="00FB3A2C" w:rsidRDefault="00FB3A2C" w:rsidP="00860171">
      <w:pPr>
        <w:pStyle w:val="BodyText"/>
      </w:pPr>
    </w:p>
    <w:p w14:paraId="16718E67" w14:textId="77777777" w:rsidR="008327F5" w:rsidRDefault="008327F5" w:rsidP="00860171">
      <w:pPr>
        <w:pStyle w:val="BodyText"/>
      </w:pPr>
    </w:p>
    <w:p w14:paraId="0F646E2D" w14:textId="52F18FA9" w:rsidR="00CC4832" w:rsidRDefault="00CC4832" w:rsidP="00413608">
      <w:pPr>
        <w:pStyle w:val="Proposal"/>
      </w:pPr>
      <w:bookmarkStart w:id="229" w:name="_Toc142603370"/>
      <w:r>
        <w:t xml:space="preserve">One </w:t>
      </w:r>
      <w:r w:rsidR="00413608">
        <w:t>bit</w:t>
      </w:r>
      <w:r>
        <w:t xml:space="preserve"> is used to indicate </w:t>
      </w:r>
      <w:r w:rsidR="000E2B4F">
        <w:t xml:space="preserve">the presence </w:t>
      </w:r>
      <w:r w:rsidR="00FF56ED">
        <w:t xml:space="preserve">of </w:t>
      </w:r>
      <w:r w:rsidR="007A0DC7">
        <w:t>data in a bucket.</w:t>
      </w:r>
      <w:bookmarkEnd w:id="229"/>
    </w:p>
    <w:p w14:paraId="29432F41" w14:textId="70CCF149" w:rsidR="001550F6" w:rsidRDefault="00A16AE9" w:rsidP="00860171">
      <w:pPr>
        <w:pStyle w:val="Proposal"/>
      </w:pPr>
      <w:bookmarkStart w:id="230" w:name="_Toc142603371"/>
      <w:r>
        <w:t xml:space="preserve">1 byte per LCG that reports delay is introduced to indicate 8 buckets. BS is reported as described in </w:t>
      </w:r>
      <w:r>
        <w:fldChar w:fldCharType="begin"/>
      </w:r>
      <w:r>
        <w:instrText xml:space="preserve"> REF _Ref134022730 \h </w:instrText>
      </w:r>
      <w:r>
        <w:fldChar w:fldCharType="separate"/>
      </w:r>
      <w:r w:rsidR="00EF5C41">
        <w:t xml:space="preserve">Figure </w:t>
      </w:r>
      <w:r w:rsidR="00EF5C41">
        <w:rPr>
          <w:noProof/>
        </w:rPr>
        <w:t>2</w:t>
      </w:r>
      <w:r>
        <w:fldChar w:fldCharType="end"/>
      </w:r>
      <w:r w:rsidR="0025583B">
        <w:t>.</w:t>
      </w:r>
      <w:bookmarkEnd w:id="230"/>
    </w:p>
    <w:p w14:paraId="4E5E5B67" w14:textId="49754E8B" w:rsidR="000E2B4F" w:rsidRDefault="000E2B4F" w:rsidP="004B76C1">
      <w:pPr>
        <w:pStyle w:val="Proposal"/>
        <w:numPr>
          <w:ilvl w:val="0"/>
          <w:numId w:val="0"/>
        </w:numPr>
        <w:ind w:left="1710"/>
        <w:rPr>
          <w:lang w:val="en-US"/>
        </w:rPr>
      </w:pPr>
    </w:p>
    <w:p w14:paraId="40DEA677" w14:textId="025FFAE4" w:rsidR="000E2B4F" w:rsidRPr="004C0428" w:rsidRDefault="000E2B4F" w:rsidP="000E2B4F">
      <w:pPr>
        <w:pStyle w:val="Proposal"/>
        <w:rPr>
          <w:lang w:val="en-US"/>
        </w:rPr>
      </w:pPr>
      <w:bookmarkStart w:id="231" w:name="_Toc142603372"/>
      <w:r>
        <w:rPr>
          <w:lang w:val="en-US"/>
        </w:rPr>
        <w:t xml:space="preserve">The eLCID (1 octet) is used to for this new long </w:t>
      </w:r>
      <w:r w:rsidR="001550F6">
        <w:rPr>
          <w:lang w:val="en-US"/>
        </w:rPr>
        <w:t>delay reporting</w:t>
      </w:r>
      <w:r>
        <w:rPr>
          <w:lang w:val="en-US"/>
        </w:rPr>
        <w:t xml:space="preserve"> MAC CE.</w:t>
      </w:r>
      <w:bookmarkEnd w:id="231"/>
    </w:p>
    <w:p w14:paraId="593E7091" w14:textId="222D37B7" w:rsidR="00B22DA1" w:rsidRPr="00B22DA1" w:rsidRDefault="00B22DA1" w:rsidP="00DE776C">
      <w:pPr>
        <w:pStyle w:val="Proposal"/>
        <w:numPr>
          <w:ilvl w:val="0"/>
          <w:numId w:val="0"/>
        </w:numPr>
      </w:pPr>
    </w:p>
    <w:p w14:paraId="0CF6040A" w14:textId="3E5EFBD7" w:rsidR="00064E39" w:rsidRPr="00CE0424" w:rsidRDefault="009340B6" w:rsidP="00064E39">
      <w:pPr>
        <w:pStyle w:val="Heading1"/>
      </w:pPr>
      <w:bookmarkStart w:id="232" w:name="_Toc70424553"/>
      <w:bookmarkStart w:id="233" w:name="_Ref189046994"/>
      <w:bookmarkEnd w:id="232"/>
      <w:r>
        <w:t>3</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2529704" w14:textId="67D3BB1B" w:rsidR="00F52FE7" w:rsidRPr="00F52FE7" w:rsidRDefault="00F52FE7" w:rsidP="004B76C1">
      <w:pPr>
        <w:pStyle w:val="ListParagraph"/>
        <w:numPr>
          <w:ilvl w:val="0"/>
          <w:numId w:val="18"/>
        </w:numPr>
        <w:rPr>
          <w:rFonts w:ascii="Arial" w:hAnsi="Arial"/>
          <w:b/>
          <w:bCs/>
        </w:rPr>
      </w:pPr>
      <w:bookmarkStart w:id="234" w:name="_Toc142574693"/>
      <w:r w:rsidRPr="00F52FE7">
        <w:rPr>
          <w:rFonts w:ascii="Arial" w:eastAsia="Times New Roman" w:hAnsi="Arial"/>
          <w:b/>
          <w:bCs/>
          <w:sz w:val="20"/>
          <w:szCs w:val="20"/>
          <w:lang w:val="en-GB" w:eastAsia="ja-JP"/>
        </w:rPr>
        <w:t>Increasing the granularity of the BSR tables (down to a step size of 200 bytes) improves the capacity in a network with XR traffic.</w:t>
      </w:r>
      <w:bookmarkEnd w:id="234"/>
    </w:p>
    <w:p w14:paraId="7924CBCF" w14:textId="77777777" w:rsidR="004973CD" w:rsidRDefault="004973CD"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659BD99" w14:textId="03550CE7" w:rsidR="00EF5C41"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03305" w:history="1">
        <w:r w:rsidR="00EF5C41" w:rsidRPr="00742485">
          <w:rPr>
            <w:rStyle w:val="Hyperlink"/>
            <w:noProof/>
            <w:lang w:val="en-US"/>
          </w:rPr>
          <w:t>Proposal 1</w:t>
        </w:r>
        <w:r w:rsidR="00EF5C41">
          <w:rPr>
            <w:rFonts w:asciiTheme="minorHAnsi" w:eastAsiaTheme="minorEastAsia" w:hAnsiTheme="minorHAnsi" w:cstheme="minorBidi"/>
            <w:b w:val="0"/>
            <w:noProof/>
            <w:sz w:val="22"/>
            <w:szCs w:val="22"/>
          </w:rPr>
          <w:tab/>
        </w:r>
        <w:r w:rsidR="00EF5C41" w:rsidRPr="00742485">
          <w:rPr>
            <w:rStyle w:val="Hyperlink"/>
            <w:noProof/>
            <w:lang w:val="en-US"/>
          </w:rPr>
          <w:t>RAN2 to discuss the new BSR table considering that a small step size (down to 200 bytes) improves XR capacity.</w:t>
        </w:r>
      </w:hyperlink>
    </w:p>
    <w:p w14:paraId="7BCB7D28" w14:textId="5F47D298"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2" w:history="1">
        <w:r w:rsidR="00EF5C41" w:rsidRPr="00742485">
          <w:rPr>
            <w:rStyle w:val="Hyperlink"/>
            <w:noProof/>
            <w:lang w:val="en-US"/>
          </w:rPr>
          <w:t>Proposal 2</w:t>
        </w:r>
        <w:r w:rsidR="00EF5C41">
          <w:rPr>
            <w:rFonts w:asciiTheme="minorHAnsi" w:eastAsiaTheme="minorEastAsia" w:hAnsiTheme="minorHAnsi" w:cstheme="minorBidi"/>
            <w:b w:val="0"/>
            <w:noProof/>
            <w:sz w:val="22"/>
            <w:szCs w:val="22"/>
          </w:rPr>
          <w:tab/>
        </w:r>
        <w:r w:rsidR="00EF5C41" w:rsidRPr="00742485">
          <w:rPr>
            <w:rStyle w:val="Hyperlink"/>
            <w:noProof/>
            <w:lang w:val="en-US"/>
          </w:rPr>
          <w:t>Create a new BSR MAC CE based on the legacy BSR MAC CE, with one extra byte, where the individual bits are indicating whether the correspondent LCG</w:t>
        </w:r>
        <w:r w:rsidR="00EF5C41" w:rsidRPr="00742485">
          <w:rPr>
            <w:rStyle w:val="Hyperlink"/>
            <w:noProof/>
          </w:rPr>
          <w:t xml:space="preserve"> is using the legacy or the new BS table, as shown in example in Figure 2. </w:t>
        </w:r>
      </w:hyperlink>
    </w:p>
    <w:p w14:paraId="488D5AEC" w14:textId="4659D8D8"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3" w:history="1">
        <w:r w:rsidR="00EF5C41" w:rsidRPr="00742485">
          <w:rPr>
            <w:rStyle w:val="Hyperlink"/>
            <w:noProof/>
            <w:lang w:val="en-US"/>
          </w:rPr>
          <w:t>Proposal 3</w:t>
        </w:r>
        <w:r w:rsidR="00EF5C41">
          <w:rPr>
            <w:rFonts w:asciiTheme="minorHAnsi" w:eastAsiaTheme="minorEastAsia" w:hAnsiTheme="minorHAnsi" w:cstheme="minorBidi"/>
            <w:b w:val="0"/>
            <w:noProof/>
            <w:sz w:val="22"/>
            <w:szCs w:val="22"/>
          </w:rPr>
          <w:tab/>
        </w:r>
        <w:r w:rsidR="00EF5C41" w:rsidRPr="00742485">
          <w:rPr>
            <w:rStyle w:val="Hyperlink"/>
            <w:noProof/>
            <w:lang w:val="en-US"/>
          </w:rPr>
          <w:t>When both the legacy and the new BS table contain an index which can represent the UE buffer size, the UE shall use the new BS table and format.</w:t>
        </w:r>
      </w:hyperlink>
    </w:p>
    <w:p w14:paraId="71E5DF15" w14:textId="67D8EF64"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4" w:history="1">
        <w:r w:rsidR="00EF5C41" w:rsidRPr="00742485">
          <w:rPr>
            <w:rStyle w:val="Hyperlink"/>
            <w:noProof/>
            <w:lang w:val="en-US"/>
          </w:rPr>
          <w:t>Proposal 4</w:t>
        </w:r>
        <w:r w:rsidR="00EF5C41">
          <w:rPr>
            <w:rFonts w:asciiTheme="minorHAnsi" w:eastAsiaTheme="minorEastAsia" w:hAnsiTheme="minorHAnsi" w:cstheme="minorBidi"/>
            <w:b w:val="0"/>
            <w:noProof/>
            <w:sz w:val="22"/>
            <w:szCs w:val="22"/>
          </w:rPr>
          <w:tab/>
        </w:r>
        <w:r w:rsidR="00EF5C41" w:rsidRPr="00742485">
          <w:rPr>
            <w:rStyle w:val="Hyperlink"/>
            <w:noProof/>
            <w:lang w:val="en-US"/>
          </w:rPr>
          <w:t>When only one table (i.e. the legacy BS table) contains an index which represents the UE buffer size, the UE shall use the legacy BS table and format.</w:t>
        </w:r>
      </w:hyperlink>
    </w:p>
    <w:p w14:paraId="1AAC102F" w14:textId="195BA10E"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5" w:history="1">
        <w:r w:rsidR="00EF5C41" w:rsidRPr="00742485">
          <w:rPr>
            <w:rStyle w:val="Hyperlink"/>
            <w:rFonts w:cs="Arial"/>
            <w:noProof/>
          </w:rPr>
          <w:t>Proposal 5</w:t>
        </w:r>
        <w:r w:rsidR="00EF5C41">
          <w:rPr>
            <w:rFonts w:asciiTheme="minorHAnsi" w:eastAsiaTheme="minorEastAsia" w:hAnsiTheme="minorHAnsi" w:cstheme="minorBidi"/>
            <w:b w:val="0"/>
            <w:noProof/>
            <w:sz w:val="22"/>
            <w:szCs w:val="22"/>
          </w:rPr>
          <w:tab/>
        </w:r>
        <w:r w:rsidR="00EF5C41" w:rsidRPr="00742485">
          <w:rPr>
            <w:rStyle w:val="Hyperlink"/>
            <w:rFonts w:cs="Arial"/>
            <w:noProof/>
          </w:rPr>
          <w:t>Current BSR triggering conditions are the baseline conditions for the new BSR introduced in Section 2.1.</w:t>
        </w:r>
      </w:hyperlink>
    </w:p>
    <w:p w14:paraId="55F58FBF" w14:textId="4F70ACCB"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6" w:history="1">
        <w:r w:rsidR="00EF5C41" w:rsidRPr="00742485">
          <w:rPr>
            <w:rStyle w:val="Hyperlink"/>
            <w:rFonts w:cs="Arial"/>
            <w:noProof/>
          </w:rPr>
          <w:t>Proposal 6</w:t>
        </w:r>
        <w:r w:rsidR="00EF5C41">
          <w:rPr>
            <w:rFonts w:asciiTheme="minorHAnsi" w:eastAsiaTheme="minorEastAsia" w:hAnsiTheme="minorHAnsi" w:cstheme="minorBidi"/>
            <w:b w:val="0"/>
            <w:noProof/>
            <w:sz w:val="22"/>
            <w:szCs w:val="22"/>
          </w:rPr>
          <w:tab/>
        </w:r>
        <w:r w:rsidR="00EF5C41" w:rsidRPr="00742485">
          <w:rPr>
            <w:rStyle w:val="Hyperlink"/>
            <w:rFonts w:cs="Arial"/>
            <w:noProof/>
          </w:rPr>
          <w:t>Delay reporting should also provide buffer information utilizing the defined BS tables.</w:t>
        </w:r>
      </w:hyperlink>
    </w:p>
    <w:p w14:paraId="489886D3" w14:textId="4B60C893"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7" w:history="1">
        <w:r w:rsidR="00EF5C41" w:rsidRPr="00742485">
          <w:rPr>
            <w:rStyle w:val="Hyperlink"/>
            <w:noProof/>
            <w:lang w:val="en-US"/>
          </w:rPr>
          <w:t>Proposal 7</w:t>
        </w:r>
        <w:r w:rsidR="00EF5C41">
          <w:rPr>
            <w:rFonts w:asciiTheme="minorHAnsi" w:eastAsiaTheme="minorEastAsia" w:hAnsiTheme="minorHAnsi" w:cstheme="minorBidi"/>
            <w:b w:val="0"/>
            <w:noProof/>
            <w:sz w:val="22"/>
            <w:szCs w:val="22"/>
          </w:rPr>
          <w:tab/>
        </w:r>
        <w:r w:rsidR="00EF5C41" w:rsidRPr="00742485">
          <w:rPr>
            <w:rStyle w:val="Hyperlink"/>
            <w:noProof/>
            <w:lang w:val="en-US"/>
          </w:rPr>
          <w:t>Delay reporting is done by indicating bucket indexes similar as for the buffer status, per LCG.</w:t>
        </w:r>
      </w:hyperlink>
    </w:p>
    <w:p w14:paraId="1E7930D5" w14:textId="7E5426A0"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8" w:history="1">
        <w:r w:rsidR="00EF5C41" w:rsidRPr="00742485">
          <w:rPr>
            <w:rStyle w:val="Hyperlink"/>
            <w:noProof/>
          </w:rPr>
          <w:t>Proposal 8</w:t>
        </w:r>
        <w:r w:rsidR="00EF5C41">
          <w:rPr>
            <w:rFonts w:asciiTheme="minorHAnsi" w:eastAsiaTheme="minorEastAsia" w:hAnsiTheme="minorHAnsi" w:cstheme="minorBidi"/>
            <w:b w:val="0"/>
            <w:noProof/>
            <w:sz w:val="22"/>
            <w:szCs w:val="22"/>
          </w:rPr>
          <w:tab/>
        </w:r>
        <w:r w:rsidR="00EF5C41" w:rsidRPr="00742485">
          <w:rPr>
            <w:rStyle w:val="Hyperlink"/>
            <w:noProof/>
          </w:rPr>
          <w:t>Two delay tables per LCG can be configured: one for short delay reporting, another table for long delay reporting.</w:t>
        </w:r>
      </w:hyperlink>
    </w:p>
    <w:p w14:paraId="2A532F9A" w14:textId="1BE4315F"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59" w:history="1">
        <w:r w:rsidR="00EF5C41" w:rsidRPr="00742485">
          <w:rPr>
            <w:rStyle w:val="Hyperlink"/>
            <w:noProof/>
          </w:rPr>
          <w:t>Proposal 9</w:t>
        </w:r>
        <w:r w:rsidR="00EF5C41">
          <w:rPr>
            <w:rFonts w:asciiTheme="minorHAnsi" w:eastAsiaTheme="minorEastAsia" w:hAnsiTheme="minorHAnsi" w:cstheme="minorBidi"/>
            <w:b w:val="0"/>
            <w:noProof/>
            <w:sz w:val="22"/>
            <w:szCs w:val="22"/>
          </w:rPr>
          <w:tab/>
        </w:r>
        <w:r w:rsidR="00EF5C41" w:rsidRPr="00742485">
          <w:rPr>
            <w:rStyle w:val="Hyperlink"/>
            <w:noProof/>
          </w:rPr>
          <w:t>A delay table is defined by: - min value, - max value, and - stepSize.</w:t>
        </w:r>
      </w:hyperlink>
    </w:p>
    <w:p w14:paraId="5455E0B7" w14:textId="64A9DB18"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0" w:history="1">
        <w:r w:rsidR="00EF5C41" w:rsidRPr="00742485">
          <w:rPr>
            <w:rStyle w:val="Hyperlink"/>
            <w:noProof/>
          </w:rPr>
          <w:t>Proposal 10</w:t>
        </w:r>
        <w:r w:rsidR="00EF5C41">
          <w:rPr>
            <w:rFonts w:asciiTheme="minorHAnsi" w:eastAsiaTheme="minorEastAsia" w:hAnsiTheme="minorHAnsi" w:cstheme="minorBidi"/>
            <w:b w:val="0"/>
            <w:noProof/>
            <w:sz w:val="22"/>
            <w:szCs w:val="22"/>
          </w:rPr>
          <w:tab/>
        </w:r>
        <w:r w:rsidR="00EF5C41" w:rsidRPr="00742485">
          <w:rPr>
            <w:rStyle w:val="Hyperlink"/>
            <w:noProof/>
          </w:rPr>
          <w:t>Up to 8 buckets can be configured for long delay reporting. 1 bucket is enough for short delay reporting (see 2.2.3).</w:t>
        </w:r>
      </w:hyperlink>
    </w:p>
    <w:p w14:paraId="7D9AA80A" w14:textId="36475A4B"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2" w:history="1">
        <w:r w:rsidR="00EF5C41" w:rsidRPr="00742485">
          <w:rPr>
            <w:rStyle w:val="Hyperlink"/>
            <w:noProof/>
          </w:rPr>
          <w:t>Proposal 11</w:t>
        </w:r>
        <w:r w:rsidR="00EF5C41">
          <w:rPr>
            <w:rFonts w:asciiTheme="minorHAnsi" w:eastAsiaTheme="minorEastAsia" w:hAnsiTheme="minorHAnsi" w:cstheme="minorBidi"/>
            <w:b w:val="0"/>
            <w:noProof/>
            <w:sz w:val="22"/>
            <w:szCs w:val="22"/>
          </w:rPr>
          <w:tab/>
        </w:r>
        <w:r w:rsidR="00EF5C41" w:rsidRPr="00742485">
          <w:rPr>
            <w:rStyle w:val="Hyperlink"/>
            <w:noProof/>
          </w:rPr>
          <w:t xml:space="preserve">Delay table is built as: For index 0, BS value is defined by: [ </w:t>
        </w:r>
        <w:r w:rsidR="00EF5C41" w:rsidRPr="00742485">
          <w:rPr>
            <w:rStyle w:val="Hyperlink"/>
            <w:rFonts w:cs="Arial"/>
            <w:noProof/>
          </w:rPr>
          <w:t>≥</w:t>
        </w:r>
        <w:r w:rsidR="00EF5C41" w:rsidRPr="00742485">
          <w:rPr>
            <w:rStyle w:val="Hyperlink"/>
            <w:noProof/>
          </w:rPr>
          <w:t xml:space="preserve"> min value &amp; </w:t>
        </w:r>
        <w:r w:rsidR="00EF5C41" w:rsidRPr="00742485">
          <w:rPr>
            <w:rStyle w:val="Hyperlink"/>
            <w:rFonts w:cs="Arial"/>
            <w:noProof/>
          </w:rPr>
          <w:t>≤</w:t>
        </w:r>
        <w:r w:rsidR="00EF5C41" w:rsidRPr="00742485">
          <w:rPr>
            <w:rStyle w:val="Hyperlink"/>
            <w:noProof/>
          </w:rPr>
          <w:t xml:space="preserve"> min value x (stepSize x (BS index + 1) Second and third index, BS value is defined by [</w:t>
        </w:r>
        <w:r w:rsidR="00EF5C41" w:rsidRPr="00742485">
          <w:rPr>
            <w:rStyle w:val="Hyperlink"/>
            <w:rFonts w:cs="Arial"/>
            <w:noProof/>
          </w:rPr>
          <w:t>≤</w:t>
        </w:r>
        <w:r w:rsidR="00EF5C41" w:rsidRPr="00742485">
          <w:rPr>
            <w:rStyle w:val="Hyperlink"/>
            <w:noProof/>
          </w:rPr>
          <w:t xml:space="preserve"> min value x (stepSize x (BS index + 1)] Last bucket index is defined by </w:t>
        </w:r>
        <w:r w:rsidR="00EF5C41" w:rsidRPr="00742485">
          <w:rPr>
            <w:rStyle w:val="Hyperlink"/>
            <w:rFonts w:cs="Arial"/>
            <w:noProof/>
          </w:rPr>
          <w:t xml:space="preserve">≥ </w:t>
        </w:r>
        <w:r w:rsidR="00EF5C41" w:rsidRPr="00742485">
          <w:rPr>
            <w:rStyle w:val="Hyperlink"/>
            <w:noProof/>
          </w:rPr>
          <w:t xml:space="preserve">min value x (stepSize x (BS index + 1)] or </w:t>
        </w:r>
        <w:r w:rsidR="00EF5C41" w:rsidRPr="00742485">
          <w:rPr>
            <w:rStyle w:val="Hyperlink"/>
            <w:rFonts w:cs="Arial"/>
            <w:noProof/>
          </w:rPr>
          <w:t>≥ max value (if provided)</w:t>
        </w:r>
      </w:hyperlink>
    </w:p>
    <w:p w14:paraId="312D867D" w14:textId="78029F0A"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3" w:history="1">
        <w:r w:rsidR="00EF5C41" w:rsidRPr="00742485">
          <w:rPr>
            <w:rStyle w:val="Hyperlink"/>
            <w:noProof/>
          </w:rPr>
          <w:t>Proposal 12</w:t>
        </w:r>
        <w:r w:rsidR="00EF5C41">
          <w:rPr>
            <w:rFonts w:asciiTheme="minorHAnsi" w:eastAsiaTheme="minorEastAsia" w:hAnsiTheme="minorHAnsi" w:cstheme="minorBidi"/>
            <w:b w:val="0"/>
            <w:noProof/>
            <w:sz w:val="22"/>
            <w:szCs w:val="22"/>
          </w:rPr>
          <w:tab/>
        </w:r>
        <w:r w:rsidR="00EF5C41" w:rsidRPr="00742485">
          <w:rPr>
            <w:rStyle w:val="Hyperlink"/>
            <w:noProof/>
          </w:rPr>
          <w:t>For short delay reporting, min and max value, or min and step size needs to be provided.</w:t>
        </w:r>
      </w:hyperlink>
    </w:p>
    <w:p w14:paraId="3A8D30D1" w14:textId="60A01EC8"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4" w:history="1">
        <w:r w:rsidR="00EF5C41" w:rsidRPr="00742485">
          <w:rPr>
            <w:rStyle w:val="Hyperlink"/>
            <w:noProof/>
            <w:lang w:val="en-US"/>
          </w:rPr>
          <w:t>Proposal 13</w:t>
        </w:r>
        <w:r w:rsidR="00EF5C41">
          <w:rPr>
            <w:rFonts w:asciiTheme="minorHAnsi" w:eastAsiaTheme="minorEastAsia" w:hAnsiTheme="minorHAnsi" w:cstheme="minorBidi"/>
            <w:b w:val="0"/>
            <w:noProof/>
            <w:sz w:val="22"/>
            <w:szCs w:val="22"/>
          </w:rPr>
          <w:tab/>
        </w:r>
        <w:r w:rsidR="00EF5C41" w:rsidRPr="00742485">
          <w:rPr>
            <w:rStyle w:val="Hyperlink"/>
            <w:noProof/>
            <w:lang w:val="en-US"/>
          </w:rPr>
          <w:t>Adopt the ASN.1 outlined above to configure the delay table.</w:t>
        </w:r>
      </w:hyperlink>
    </w:p>
    <w:p w14:paraId="55969FBC" w14:textId="4C1F01A4"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5" w:history="1">
        <w:r w:rsidR="00EF5C41" w:rsidRPr="00742485">
          <w:rPr>
            <w:rStyle w:val="Hyperlink"/>
            <w:noProof/>
            <w:lang w:val="en-US"/>
          </w:rPr>
          <w:t>Proposal 14</w:t>
        </w:r>
        <w:r w:rsidR="00EF5C41">
          <w:rPr>
            <w:rFonts w:asciiTheme="minorHAnsi" w:eastAsiaTheme="minorEastAsia" w:hAnsiTheme="minorHAnsi" w:cstheme="minorBidi"/>
            <w:b w:val="0"/>
            <w:noProof/>
            <w:sz w:val="22"/>
            <w:szCs w:val="22"/>
          </w:rPr>
          <w:tab/>
        </w:r>
        <w:r w:rsidR="00EF5C41" w:rsidRPr="00742485">
          <w:rPr>
            <w:rStyle w:val="Hyperlink"/>
            <w:noProof/>
            <w:lang w:val="en-US"/>
          </w:rPr>
          <w:t>Delay reporting is triggered when data enters an empty delay bucket. The buckets which trigger the delay reporting are configured by the network.</w:t>
        </w:r>
      </w:hyperlink>
    </w:p>
    <w:p w14:paraId="0E7AD906" w14:textId="7034174B"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7" w:history="1">
        <w:r w:rsidR="00EF5C41" w:rsidRPr="00742485">
          <w:rPr>
            <w:rStyle w:val="Hyperlink"/>
            <w:noProof/>
            <w:lang w:val="en-US"/>
          </w:rPr>
          <w:t>Proposal 15</w:t>
        </w:r>
        <w:r w:rsidR="00EF5C41">
          <w:rPr>
            <w:rFonts w:asciiTheme="minorHAnsi" w:eastAsiaTheme="minorEastAsia" w:hAnsiTheme="minorHAnsi" w:cstheme="minorBidi"/>
            <w:b w:val="0"/>
            <w:noProof/>
            <w:sz w:val="22"/>
            <w:szCs w:val="22"/>
          </w:rPr>
          <w:tab/>
        </w:r>
        <w:r w:rsidR="00EF5C41" w:rsidRPr="00742485">
          <w:rPr>
            <w:rStyle w:val="Hyperlink"/>
            <w:noProof/>
            <w:lang w:val="en-US"/>
          </w:rPr>
          <w:t>The UE reports the buffer status in each of the delay/latency buckets.</w:t>
        </w:r>
      </w:hyperlink>
    </w:p>
    <w:p w14:paraId="19E479F9" w14:textId="43260229"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8" w:history="1">
        <w:r w:rsidR="00EF5C41" w:rsidRPr="00742485">
          <w:rPr>
            <w:rStyle w:val="Hyperlink"/>
            <w:noProof/>
            <w:lang w:val="en-US"/>
          </w:rPr>
          <w:t>Proposal 16</w:t>
        </w:r>
        <w:r w:rsidR="00EF5C41">
          <w:rPr>
            <w:rFonts w:asciiTheme="minorHAnsi" w:eastAsiaTheme="minorEastAsia" w:hAnsiTheme="minorHAnsi" w:cstheme="minorBidi"/>
            <w:b w:val="0"/>
            <w:noProof/>
            <w:sz w:val="22"/>
            <w:szCs w:val="22"/>
          </w:rPr>
          <w:tab/>
        </w:r>
        <w:r w:rsidR="00EF5C41" w:rsidRPr="00742485">
          <w:rPr>
            <w:rStyle w:val="Hyperlink"/>
            <w:noProof/>
            <w:lang w:val="en-US"/>
          </w:rPr>
          <w:t>A short delay reporting is introduced. Its format is the same as the legacy BSR.</w:t>
        </w:r>
      </w:hyperlink>
    </w:p>
    <w:p w14:paraId="6D28012C" w14:textId="0B3F9D03"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69" w:history="1">
        <w:r w:rsidR="00EF5C41" w:rsidRPr="00742485">
          <w:rPr>
            <w:rStyle w:val="Hyperlink"/>
            <w:noProof/>
            <w:lang w:val="en-US"/>
          </w:rPr>
          <w:t>Proposal 17</w:t>
        </w:r>
        <w:r w:rsidR="00EF5C41">
          <w:rPr>
            <w:rFonts w:asciiTheme="minorHAnsi" w:eastAsiaTheme="minorEastAsia" w:hAnsiTheme="minorHAnsi" w:cstheme="minorBidi"/>
            <w:b w:val="0"/>
            <w:noProof/>
            <w:sz w:val="22"/>
            <w:szCs w:val="22"/>
          </w:rPr>
          <w:tab/>
        </w:r>
        <w:r w:rsidR="00EF5C41" w:rsidRPr="00742485">
          <w:rPr>
            <w:rStyle w:val="Hyperlink"/>
            <w:noProof/>
            <w:lang w:val="en-US"/>
          </w:rPr>
          <w:t>A short delay reporting indicates the highest priority LCG configured with delay reporting which has data in a bucket configured by the network.</w:t>
        </w:r>
      </w:hyperlink>
    </w:p>
    <w:p w14:paraId="32C1EC45" w14:textId="52E12E68"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70" w:history="1">
        <w:r w:rsidR="00EF5C41" w:rsidRPr="00742485">
          <w:rPr>
            <w:rStyle w:val="Hyperlink"/>
            <w:noProof/>
          </w:rPr>
          <w:t>Proposal 18</w:t>
        </w:r>
        <w:r w:rsidR="00EF5C41">
          <w:rPr>
            <w:rFonts w:asciiTheme="minorHAnsi" w:eastAsiaTheme="minorEastAsia" w:hAnsiTheme="minorHAnsi" w:cstheme="minorBidi"/>
            <w:b w:val="0"/>
            <w:noProof/>
            <w:sz w:val="22"/>
            <w:szCs w:val="22"/>
          </w:rPr>
          <w:tab/>
        </w:r>
        <w:r w:rsidR="00EF5C41" w:rsidRPr="00742485">
          <w:rPr>
            <w:rStyle w:val="Hyperlink"/>
            <w:noProof/>
          </w:rPr>
          <w:t>One bit is used to indicate the presence of data in a bucket.</w:t>
        </w:r>
      </w:hyperlink>
    </w:p>
    <w:p w14:paraId="5491F380" w14:textId="503A7BFE"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71" w:history="1">
        <w:r w:rsidR="00EF5C41" w:rsidRPr="00742485">
          <w:rPr>
            <w:rStyle w:val="Hyperlink"/>
            <w:noProof/>
          </w:rPr>
          <w:t>Proposal 19</w:t>
        </w:r>
        <w:r w:rsidR="00EF5C41">
          <w:rPr>
            <w:rFonts w:asciiTheme="minorHAnsi" w:eastAsiaTheme="minorEastAsia" w:hAnsiTheme="minorHAnsi" w:cstheme="minorBidi"/>
            <w:b w:val="0"/>
            <w:noProof/>
            <w:sz w:val="22"/>
            <w:szCs w:val="22"/>
          </w:rPr>
          <w:tab/>
        </w:r>
        <w:r w:rsidR="00EF5C41" w:rsidRPr="00742485">
          <w:rPr>
            <w:rStyle w:val="Hyperlink"/>
            <w:noProof/>
          </w:rPr>
          <w:t>1 byte per LCG that reports delay is introduced to indicate 8 buckets. BS is reported as described in Figure 2.</w:t>
        </w:r>
      </w:hyperlink>
    </w:p>
    <w:p w14:paraId="7E374692" w14:textId="7E83B6FC" w:rsidR="00EF5C41" w:rsidRDefault="004826B5">
      <w:pPr>
        <w:pStyle w:val="TableofFigures"/>
        <w:tabs>
          <w:tab w:val="right" w:leader="dot" w:pos="9629"/>
        </w:tabs>
        <w:rPr>
          <w:rFonts w:asciiTheme="minorHAnsi" w:eastAsiaTheme="minorEastAsia" w:hAnsiTheme="minorHAnsi" w:cstheme="minorBidi"/>
          <w:b w:val="0"/>
          <w:noProof/>
          <w:sz w:val="22"/>
          <w:szCs w:val="22"/>
        </w:rPr>
      </w:pPr>
      <w:hyperlink w:anchor="_Toc142603372" w:history="1">
        <w:r w:rsidR="00EF5C41" w:rsidRPr="00742485">
          <w:rPr>
            <w:rStyle w:val="Hyperlink"/>
            <w:noProof/>
            <w:lang w:val="en-US"/>
          </w:rPr>
          <w:t>Proposal 20</w:t>
        </w:r>
        <w:r w:rsidR="00EF5C41">
          <w:rPr>
            <w:rFonts w:asciiTheme="minorHAnsi" w:eastAsiaTheme="minorEastAsia" w:hAnsiTheme="minorHAnsi" w:cstheme="minorBidi"/>
            <w:b w:val="0"/>
            <w:noProof/>
            <w:sz w:val="22"/>
            <w:szCs w:val="22"/>
          </w:rPr>
          <w:tab/>
        </w:r>
        <w:r w:rsidR="00EF5C41" w:rsidRPr="00742485">
          <w:rPr>
            <w:rStyle w:val="Hyperlink"/>
            <w:noProof/>
            <w:lang w:val="en-US"/>
          </w:rPr>
          <w:t>The eLCID (1 octet) is used to for this new long delay reporting MAC CE.</w:t>
        </w:r>
      </w:hyperlink>
    </w:p>
    <w:p w14:paraId="6AB824BA" w14:textId="2515FF6B"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359FB957" w14:textId="134FACC6" w:rsidR="00665AC5" w:rsidRPr="00E802EC" w:rsidRDefault="00356F82"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35" w:name="_Ref126570606"/>
      <w:bookmarkEnd w:id="233"/>
      <w:r w:rsidRPr="00356F82">
        <w:rPr>
          <w:rFonts w:ascii="Arial" w:hAnsi="Arial" w:cs="Arial"/>
          <w:sz w:val="20"/>
          <w:szCs w:val="20"/>
          <w:lang w:val="en-US"/>
        </w:rPr>
        <w:t>R2-2304711</w:t>
      </w:r>
      <w:r w:rsidR="00BE776A" w:rsidRPr="00E802EC">
        <w:rPr>
          <w:rFonts w:ascii="Arial" w:hAnsi="Arial" w:cs="Arial"/>
          <w:sz w:val="20"/>
          <w:szCs w:val="20"/>
          <w:lang w:val="en-US"/>
        </w:rPr>
        <w:t xml:space="preserve">, </w:t>
      </w:r>
      <w:r w:rsidR="00BD7964" w:rsidRPr="00E802EC">
        <w:rPr>
          <w:rFonts w:ascii="Arial" w:hAnsi="Arial" w:cs="Arial"/>
          <w:sz w:val="20"/>
          <w:szCs w:val="20"/>
          <w:lang w:val="en-US"/>
        </w:rPr>
        <w:t>“</w:t>
      </w:r>
      <w:r w:rsidR="006F40D0" w:rsidRPr="006F40D0">
        <w:rPr>
          <w:rFonts w:ascii="Arial" w:hAnsi="Arial" w:cs="Arial"/>
          <w:sz w:val="20"/>
          <w:szCs w:val="20"/>
          <w:lang w:val="en-US"/>
        </w:rPr>
        <w:t>BSR and delay status reporting for XR</w:t>
      </w:r>
      <w:r w:rsidR="006F40D0" w:rsidRPr="006F40D0" w:rsidDel="006F40D0">
        <w:rPr>
          <w:rFonts w:ascii="Arial" w:hAnsi="Arial" w:cs="Arial"/>
          <w:sz w:val="20"/>
          <w:szCs w:val="20"/>
          <w:lang w:val="en-US"/>
        </w:rPr>
        <w:t xml:space="preserve"> </w:t>
      </w:r>
      <w:r w:rsidR="00BD7964" w:rsidRPr="00E802EC">
        <w:rPr>
          <w:rFonts w:ascii="Arial" w:hAnsi="Arial" w:cs="Arial"/>
          <w:sz w:val="20"/>
          <w:szCs w:val="20"/>
          <w:lang w:val="en-US"/>
        </w:rPr>
        <w:t>”</w:t>
      </w:r>
      <w:r w:rsidR="00F943F9" w:rsidRPr="00E802EC">
        <w:rPr>
          <w:rFonts w:ascii="Arial" w:hAnsi="Arial" w:cs="Arial"/>
          <w:sz w:val="20"/>
          <w:szCs w:val="20"/>
          <w:lang w:val="en-US"/>
        </w:rPr>
        <w:t>,</w:t>
      </w:r>
      <w:r w:rsidR="006F40D0">
        <w:rPr>
          <w:rFonts w:ascii="Arial" w:hAnsi="Arial" w:cs="Arial"/>
          <w:sz w:val="20"/>
          <w:szCs w:val="20"/>
          <w:lang w:val="en-US"/>
        </w:rPr>
        <w:t xml:space="preserve"> Qu</w:t>
      </w:r>
      <w:r w:rsidR="00433864">
        <w:rPr>
          <w:rFonts w:ascii="Arial" w:hAnsi="Arial" w:cs="Arial"/>
          <w:sz w:val="20"/>
          <w:szCs w:val="20"/>
          <w:lang w:val="en-US"/>
        </w:rPr>
        <w:t>a</w:t>
      </w:r>
      <w:r w:rsidR="006F40D0">
        <w:rPr>
          <w:rFonts w:ascii="Arial" w:hAnsi="Arial" w:cs="Arial"/>
          <w:sz w:val="20"/>
          <w:szCs w:val="20"/>
          <w:lang w:val="en-US"/>
        </w:rPr>
        <w:t>lcomm</w:t>
      </w:r>
      <w:r w:rsidR="0018672B">
        <w:rPr>
          <w:rFonts w:ascii="Arial" w:hAnsi="Arial" w:cs="Arial"/>
          <w:sz w:val="20"/>
          <w:szCs w:val="20"/>
          <w:lang w:val="en-US"/>
        </w:rPr>
        <w:t xml:space="preserve"> Incorporated,</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w:t>
      </w:r>
      <w:r w:rsidR="006848B0">
        <w:rPr>
          <w:rFonts w:ascii="Arial" w:hAnsi="Arial" w:cs="Arial"/>
          <w:sz w:val="20"/>
          <w:szCs w:val="20"/>
          <w:lang w:val="en-US"/>
        </w:rPr>
        <w:t>WG2 #122</w:t>
      </w:r>
      <w:r w:rsidR="00056501" w:rsidRPr="00E802EC">
        <w:rPr>
          <w:rFonts w:ascii="Arial" w:hAnsi="Arial" w:cs="Arial"/>
          <w:sz w:val="20"/>
          <w:szCs w:val="20"/>
          <w:lang w:val="en-US"/>
        </w:rPr>
        <w:t>,</w:t>
      </w:r>
      <w:r w:rsidR="00F90B0E">
        <w:rPr>
          <w:rFonts w:ascii="Arial" w:hAnsi="Arial" w:cs="Arial"/>
          <w:sz w:val="20"/>
          <w:szCs w:val="20"/>
          <w:lang w:val="en-US"/>
        </w:rPr>
        <w:t xml:space="preserve"> 22-26 May,</w:t>
      </w:r>
      <w:r w:rsidR="00E56E8C" w:rsidRPr="00E802EC">
        <w:rPr>
          <w:rFonts w:ascii="Arial" w:hAnsi="Arial" w:cs="Arial"/>
          <w:sz w:val="20"/>
          <w:szCs w:val="20"/>
          <w:lang w:val="en-US"/>
        </w:rPr>
        <w:t xml:space="preserve"> 202</w:t>
      </w:r>
      <w:r w:rsidR="00CC7B5F">
        <w:rPr>
          <w:rFonts w:ascii="Arial" w:hAnsi="Arial" w:cs="Arial"/>
          <w:sz w:val="20"/>
          <w:szCs w:val="20"/>
          <w:lang w:val="en-US"/>
        </w:rPr>
        <w:t>3</w:t>
      </w:r>
      <w:r w:rsidR="00AB49B9" w:rsidRPr="00E802EC">
        <w:rPr>
          <w:rFonts w:ascii="Arial" w:hAnsi="Arial" w:cs="Arial"/>
          <w:sz w:val="20"/>
          <w:szCs w:val="20"/>
          <w:lang w:val="en-US"/>
        </w:rPr>
        <w:t>.</w:t>
      </w:r>
      <w:bookmarkEnd w:id="235"/>
    </w:p>
    <w:p w14:paraId="4767EEF7" w14:textId="17E453C9" w:rsidR="006A6695" w:rsidRPr="008E23B2" w:rsidRDefault="000C1A9A"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r w:rsidRPr="000C1A9A">
        <w:rPr>
          <w:rFonts w:ascii="Arial" w:hAnsi="Arial" w:cs="Arial"/>
          <w:bCs/>
          <w:sz w:val="20"/>
          <w:szCs w:val="20"/>
          <w:lang w:val="en-GB"/>
        </w:rPr>
        <w:t>R2-</w:t>
      </w:r>
      <w:r w:rsidR="00E058EC" w:rsidRPr="00E058EC">
        <w:rPr>
          <w:rFonts w:ascii="Arial" w:hAnsi="Arial" w:cs="Arial"/>
          <w:bCs/>
          <w:sz w:val="20"/>
          <w:szCs w:val="20"/>
          <w:lang w:val="en-GB"/>
        </w:rPr>
        <w:t>2301507</w:t>
      </w:r>
      <w:r w:rsidR="001C2970" w:rsidRPr="00E802EC">
        <w:rPr>
          <w:rFonts w:ascii="Arial" w:hAnsi="Arial" w:cs="Arial"/>
          <w:bCs/>
          <w:sz w:val="20"/>
          <w:szCs w:val="20"/>
          <w:lang w:val="en-GB"/>
        </w:rPr>
        <w:t>, “</w:t>
      </w:r>
      <w:r w:rsidR="00570509" w:rsidRPr="00E058EC">
        <w:rPr>
          <w:rFonts w:ascii="Arial" w:hAnsi="Arial" w:cs="Arial"/>
          <w:sz w:val="20"/>
          <w:szCs w:val="20"/>
          <w:lang w:val="en-US"/>
        </w:rPr>
        <w:t xml:space="preserve">Discussion on </w:t>
      </w:r>
      <w:r w:rsidR="00E058EC" w:rsidRPr="00E058EC">
        <w:rPr>
          <w:rFonts w:ascii="Arial" w:hAnsi="Arial" w:cs="Arial"/>
          <w:sz w:val="20"/>
          <w:szCs w:val="20"/>
          <w:lang w:val="en-US"/>
        </w:rPr>
        <w:t>XR-specific capacity improvements</w:t>
      </w:r>
      <w:r w:rsidR="00E058EC">
        <w:rPr>
          <w:rFonts w:ascii="Arial" w:hAnsi="Arial" w:cs="Arial"/>
          <w:sz w:val="20"/>
          <w:szCs w:val="20"/>
          <w:lang w:val="en-US"/>
        </w:rPr>
        <w:t>”,</w:t>
      </w:r>
      <w:r w:rsidR="00B75B5E">
        <w:rPr>
          <w:rFonts w:ascii="Arial" w:hAnsi="Arial" w:cs="Arial"/>
          <w:sz w:val="20"/>
          <w:szCs w:val="20"/>
          <w:lang w:val="en-US"/>
        </w:rPr>
        <w:t xml:space="preserve"> Ericsson,</w:t>
      </w:r>
      <w:r w:rsidR="00687D06" w:rsidRPr="00E058EC">
        <w:rPr>
          <w:rFonts w:ascii="Arial" w:hAnsi="Arial" w:cs="Arial"/>
          <w:sz w:val="20"/>
          <w:szCs w:val="20"/>
          <w:lang w:val="en-US"/>
        </w:rPr>
        <w:t xml:space="preserve"> </w:t>
      </w:r>
      <w:r w:rsidR="008D718E" w:rsidRPr="00E058EC">
        <w:rPr>
          <w:rFonts w:ascii="Arial" w:hAnsi="Arial" w:cs="Arial"/>
          <w:sz w:val="20"/>
          <w:szCs w:val="20"/>
          <w:lang w:val="en-US"/>
        </w:rPr>
        <w:t xml:space="preserve">3GPP </w:t>
      </w:r>
      <w:r w:rsidR="008D718E">
        <w:rPr>
          <w:rFonts w:ascii="Arial" w:hAnsi="Arial" w:cs="Arial"/>
          <w:sz w:val="20"/>
          <w:szCs w:val="20"/>
          <w:lang w:val="en-US"/>
        </w:rPr>
        <w:t>TSG-RAN WG2 #121</w:t>
      </w:r>
      <w:r w:rsidR="008D718E">
        <w:rPr>
          <w:rFonts w:ascii="Arial" w:hAnsi="Arial" w:cs="Arial"/>
          <w:bCs/>
          <w:sz w:val="20"/>
          <w:szCs w:val="20"/>
          <w:lang w:val="en-GB"/>
        </w:rPr>
        <w:t>, Feb.-Mar. 2023.</w:t>
      </w:r>
    </w:p>
    <w:p w14:paraId="2D6F0FC0" w14:textId="3EC18399" w:rsidR="008E23B2" w:rsidRPr="00003648" w:rsidRDefault="008E23B2"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36" w:name="_Ref138757223"/>
      <w:r>
        <w:rPr>
          <w:rFonts w:ascii="Arial" w:hAnsi="Arial" w:cs="Arial"/>
          <w:bCs/>
          <w:sz w:val="20"/>
          <w:szCs w:val="20"/>
          <w:lang w:val="en-GB"/>
        </w:rPr>
        <w:t>3GPP TR 38.838, “</w:t>
      </w:r>
      <w:r w:rsidRPr="008E23B2">
        <w:rPr>
          <w:rFonts w:ascii="Arial" w:hAnsi="Arial" w:cs="Arial"/>
          <w:bCs/>
          <w:sz w:val="20"/>
          <w:szCs w:val="20"/>
          <w:lang w:val="en-GB"/>
        </w:rPr>
        <w:t>Study on XR (Extended Reality) Evaluations for NR</w:t>
      </w:r>
      <w:r>
        <w:rPr>
          <w:rFonts w:ascii="Arial" w:hAnsi="Arial" w:cs="Arial"/>
          <w:bCs/>
          <w:sz w:val="20"/>
          <w:szCs w:val="20"/>
          <w:lang w:val="en-GB"/>
        </w:rPr>
        <w:t>”</w:t>
      </w:r>
      <w:bookmarkEnd w:id="236"/>
    </w:p>
    <w:p w14:paraId="7288E480" w14:textId="77777777" w:rsidR="000528D4" w:rsidRPr="00684BC6" w:rsidRDefault="000528D4" w:rsidP="00684BC6"/>
    <w:p w14:paraId="19297667" w14:textId="7B6A9B5F" w:rsidR="00373369" w:rsidRPr="00F011B0" w:rsidRDefault="00373369" w:rsidP="00373369">
      <w:pPr>
        <w:pStyle w:val="Heading1"/>
      </w:pPr>
      <w:r>
        <w:t>Appendix A</w:t>
      </w:r>
    </w:p>
    <w:p w14:paraId="4AE7D6E1" w14:textId="7C5A4B2F" w:rsidR="003932D6" w:rsidRDefault="00AB7250" w:rsidP="009B6D3E">
      <w:pPr>
        <w:pStyle w:val="BodyText"/>
      </w:pPr>
      <w:r>
        <w:t xml:space="preserve">Shown </w:t>
      </w:r>
      <w:r w:rsidR="00BB314F">
        <w:t xml:space="preserve">in this appendix </w:t>
      </w:r>
      <w:r>
        <w:t>is</w:t>
      </w:r>
      <w:r w:rsidR="006C7F2B">
        <w:t xml:space="preserve"> a number of </w:t>
      </w:r>
      <w:r w:rsidR="00BB314F">
        <w:t>examples</w:t>
      </w:r>
      <w:r w:rsidR="006C7F2B">
        <w:t xml:space="preserve"> </w:t>
      </w:r>
      <w:r w:rsidR="009258D5">
        <w:t xml:space="preserve">on how different delay information will possibly impact the </w:t>
      </w:r>
      <w:r w:rsidR="00405D24">
        <w:t>scheduling.</w:t>
      </w:r>
      <w:r w:rsidR="008459A0">
        <w:t xml:space="preserve"> The scenarios </w:t>
      </w:r>
      <w:r w:rsidR="00B008E0">
        <w:t xml:space="preserve">use </w:t>
      </w:r>
      <w:r w:rsidR="009636C8">
        <w:t xml:space="preserve">only two </w:t>
      </w:r>
      <w:r w:rsidR="00B008E0">
        <w:t>UEs with different traffic arrival</w:t>
      </w:r>
      <w:r w:rsidR="009636C8">
        <w:t>. T</w:t>
      </w:r>
      <w:r w:rsidR="00B008E0">
        <w:t xml:space="preserve">he </w:t>
      </w:r>
      <w:r w:rsidR="00436153">
        <w:t xml:space="preserve">packet </w:t>
      </w:r>
      <w:r w:rsidR="007C5009">
        <w:t xml:space="preserve">delay requirement </w:t>
      </w:r>
      <w:r w:rsidR="005344AA">
        <w:t xml:space="preserve">(PDB) </w:t>
      </w:r>
      <w:r w:rsidR="007C5009">
        <w:t>and traffic periodicity changes between scenarios</w:t>
      </w:r>
      <w:r w:rsidR="00436153">
        <w:t>. D</w:t>
      </w:r>
      <w:r w:rsidR="00D13116">
        <w:t xml:space="preserve">ifferent </w:t>
      </w:r>
      <w:r w:rsidR="00436153">
        <w:t>solution</w:t>
      </w:r>
      <w:r w:rsidR="005C09B0">
        <w:t xml:space="preserve"> for delay information reporting is utilized in the different scenarios.</w:t>
      </w:r>
      <w:r w:rsidR="002F5B12">
        <w:t xml:space="preserve"> For simplicity constant bitrates is assumed, i.e. </w:t>
      </w:r>
      <w:r w:rsidR="0037337B">
        <w:t xml:space="preserve">the </w:t>
      </w:r>
      <w:r w:rsidR="002F5B12">
        <w:t xml:space="preserve">same amount of resources is scheduled every </w:t>
      </w:r>
      <w:r w:rsidR="0037337B">
        <w:t>time slot.</w:t>
      </w:r>
    </w:p>
    <w:p w14:paraId="29FB319B" w14:textId="77777777" w:rsidR="002D1B1D" w:rsidRDefault="002D1B1D" w:rsidP="009B6D3E">
      <w:pPr>
        <w:pStyle w:val="BodyText"/>
      </w:pPr>
    </w:p>
    <w:p w14:paraId="3BBAC9A7" w14:textId="775E9FF9" w:rsidR="00405D24" w:rsidRPr="00BE05DC" w:rsidRDefault="00405D24" w:rsidP="009B6D3E">
      <w:pPr>
        <w:pStyle w:val="BodyText"/>
        <w:rPr>
          <w:b/>
          <w:bCs/>
        </w:rPr>
      </w:pPr>
      <w:r w:rsidRPr="00BE05DC">
        <w:rPr>
          <w:b/>
          <w:bCs/>
        </w:rPr>
        <w:t>Scenario 1</w:t>
      </w:r>
      <w:r w:rsidR="002726AA">
        <w:rPr>
          <w:b/>
          <w:bCs/>
        </w:rPr>
        <w:t xml:space="preserve">, PDB=2: </w:t>
      </w:r>
      <w:r w:rsidRPr="00BE05DC">
        <w:rPr>
          <w:b/>
          <w:bCs/>
        </w:rPr>
        <w:t>No delay information</w:t>
      </w:r>
    </w:p>
    <w:p w14:paraId="24C620AB" w14:textId="44E535E8" w:rsidR="003A7EF3" w:rsidRDefault="0051175D" w:rsidP="00CE0424">
      <w:pPr>
        <w:pStyle w:val="BodyText"/>
      </w:pPr>
      <w:r>
        <w:rPr>
          <w:noProof/>
        </w:rPr>
        <w:drawing>
          <wp:inline distT="0" distB="0" distL="0" distR="0" wp14:anchorId="2851EB09" wp14:editId="7C963AA7">
            <wp:extent cx="6255114" cy="2637285"/>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14149" cy="2662176"/>
                    </a:xfrm>
                    <a:prstGeom prst="rect">
                      <a:avLst/>
                    </a:prstGeom>
                  </pic:spPr>
                </pic:pic>
              </a:graphicData>
            </a:graphic>
          </wp:inline>
        </w:drawing>
      </w:r>
    </w:p>
    <w:p w14:paraId="7E2E245D" w14:textId="77777777" w:rsidR="005A53E8" w:rsidRDefault="005A53E8" w:rsidP="00CE0424">
      <w:pPr>
        <w:pStyle w:val="BodyText"/>
      </w:pPr>
    </w:p>
    <w:p w14:paraId="5B32F1A7" w14:textId="539FC113" w:rsidR="005A53E8" w:rsidRDefault="00D0562B" w:rsidP="00CE0424">
      <w:pPr>
        <w:pStyle w:val="BodyText"/>
      </w:pPr>
      <w:r>
        <w:t xml:space="preserve">Scheduling </w:t>
      </w:r>
      <w:r w:rsidR="00E71DEE">
        <w:t>taking place at</w:t>
      </w:r>
      <w:r>
        <w:t xml:space="preserve"> t=2 </w:t>
      </w:r>
      <w:r w:rsidR="00E71DEE">
        <w:t xml:space="preserve">is not optimal </w:t>
      </w:r>
      <w:r w:rsidR="001426EB">
        <w:t>since no delay information is available</w:t>
      </w:r>
      <w:r w:rsidR="00735411">
        <w:t xml:space="preserve"> (a round robin scheme is utilized).</w:t>
      </w:r>
    </w:p>
    <w:p w14:paraId="00A44453" w14:textId="2A5508FD" w:rsidR="002D1B1D" w:rsidRDefault="002D1B1D">
      <w:pPr>
        <w:overflowPunct/>
        <w:autoSpaceDE/>
        <w:autoSpaceDN/>
        <w:adjustRightInd/>
        <w:spacing w:after="0"/>
        <w:rPr>
          <w:rFonts w:ascii="Arial" w:hAnsi="Arial"/>
        </w:rPr>
      </w:pPr>
      <w:r>
        <w:br w:type="page"/>
      </w:r>
    </w:p>
    <w:p w14:paraId="04657E6B" w14:textId="47BD1C2B" w:rsidR="00405D24" w:rsidRPr="00BE05DC" w:rsidRDefault="00405D24" w:rsidP="00BE05DC">
      <w:pPr>
        <w:pStyle w:val="BodyText"/>
        <w:rPr>
          <w:b/>
          <w:bCs/>
        </w:rPr>
      </w:pPr>
      <w:r w:rsidRPr="00BE05DC">
        <w:rPr>
          <w:b/>
          <w:bCs/>
        </w:rPr>
        <w:t xml:space="preserve">Scenario </w:t>
      </w:r>
      <w:r w:rsidR="00D13116">
        <w:rPr>
          <w:b/>
          <w:bCs/>
        </w:rPr>
        <w:t>1</w:t>
      </w:r>
      <w:r w:rsidR="002726AA">
        <w:rPr>
          <w:b/>
          <w:bCs/>
        </w:rPr>
        <w:t>, PDB=2:</w:t>
      </w:r>
      <w:r w:rsidRPr="00BE05DC">
        <w:rPr>
          <w:b/>
          <w:bCs/>
        </w:rPr>
        <w:t xml:space="preserve"> Single value delay information</w:t>
      </w:r>
    </w:p>
    <w:p w14:paraId="11949D8F" w14:textId="23169A89" w:rsidR="0051175D" w:rsidRDefault="00EC2C94" w:rsidP="00CE0424">
      <w:pPr>
        <w:pStyle w:val="BodyText"/>
      </w:pPr>
      <w:r>
        <w:rPr>
          <w:noProof/>
        </w:rPr>
        <w:drawing>
          <wp:inline distT="0" distB="0" distL="0" distR="0" wp14:anchorId="35333CE8" wp14:editId="20DF8E5F">
            <wp:extent cx="4737934" cy="2701001"/>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75756" cy="2722563"/>
                    </a:xfrm>
                    <a:prstGeom prst="rect">
                      <a:avLst/>
                    </a:prstGeom>
                  </pic:spPr>
                </pic:pic>
              </a:graphicData>
            </a:graphic>
          </wp:inline>
        </w:drawing>
      </w:r>
    </w:p>
    <w:p w14:paraId="1A4A0668" w14:textId="28FDAE14" w:rsidR="00B37236" w:rsidRDefault="00D0562B" w:rsidP="00BE05DC">
      <w:pPr>
        <w:pStyle w:val="BodyText"/>
      </w:pPr>
      <w:r>
        <w:t xml:space="preserve">Scheduling with delay information make it possible for </w:t>
      </w:r>
      <w:r w:rsidR="0037337B">
        <w:t xml:space="preserve">the </w:t>
      </w:r>
      <w:r>
        <w:t xml:space="preserve">scheduler to </w:t>
      </w:r>
      <w:r w:rsidR="002F5B12">
        <w:t xml:space="preserve">utilize delay scheduling and </w:t>
      </w:r>
      <w:r>
        <w:t>make the correct decision in t=2.</w:t>
      </w:r>
    </w:p>
    <w:p w14:paraId="56A69E3D" w14:textId="77777777" w:rsidR="00811AEE" w:rsidRDefault="00811AEE" w:rsidP="00BE05DC">
      <w:pPr>
        <w:pStyle w:val="BodyText"/>
      </w:pPr>
    </w:p>
    <w:p w14:paraId="5EC1A4EA" w14:textId="703509EC" w:rsidR="00C5060C" w:rsidRPr="00BE05DC" w:rsidRDefault="00C5060C" w:rsidP="00BE05DC">
      <w:pPr>
        <w:pStyle w:val="BodyText"/>
        <w:rPr>
          <w:b/>
          <w:bCs/>
        </w:rPr>
      </w:pPr>
      <w:r w:rsidRPr="00BE05DC">
        <w:rPr>
          <w:b/>
          <w:bCs/>
        </w:rPr>
        <w:t xml:space="preserve">Scenario </w:t>
      </w:r>
      <w:r w:rsidR="00D13116">
        <w:rPr>
          <w:b/>
          <w:bCs/>
        </w:rPr>
        <w:t>2</w:t>
      </w:r>
      <w:r w:rsidR="002726AA">
        <w:rPr>
          <w:b/>
          <w:bCs/>
        </w:rPr>
        <w:t>, PDB=3</w:t>
      </w:r>
      <w:r w:rsidRPr="00BE05DC">
        <w:rPr>
          <w:b/>
          <w:bCs/>
        </w:rPr>
        <w:t>: No delay information</w:t>
      </w:r>
    </w:p>
    <w:p w14:paraId="338D3510" w14:textId="0D8BAAC2" w:rsidR="00B91CB1" w:rsidRDefault="00EC2C94" w:rsidP="00CE0424">
      <w:pPr>
        <w:pStyle w:val="BodyText"/>
      </w:pPr>
      <w:r>
        <w:rPr>
          <w:noProof/>
        </w:rPr>
        <w:drawing>
          <wp:inline distT="0" distB="0" distL="0" distR="0" wp14:anchorId="42229451" wp14:editId="26932F46">
            <wp:extent cx="5006252" cy="2695554"/>
            <wp:effectExtent l="0" t="0" r="4445"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86924" cy="2738991"/>
                    </a:xfrm>
                    <a:prstGeom prst="rect">
                      <a:avLst/>
                    </a:prstGeom>
                  </pic:spPr>
                </pic:pic>
              </a:graphicData>
            </a:graphic>
          </wp:inline>
        </w:drawing>
      </w:r>
    </w:p>
    <w:p w14:paraId="3A0B6913" w14:textId="126C2E53" w:rsidR="00B37236" w:rsidRDefault="002D1B1D" w:rsidP="00BE05DC">
      <w:pPr>
        <w:pStyle w:val="BodyText"/>
      </w:pPr>
      <w:r>
        <w:t>In a m</w:t>
      </w:r>
      <w:r w:rsidR="00D41C08">
        <w:t>ore complicated scenario</w:t>
      </w:r>
      <w:r w:rsidR="00D43F9D">
        <w:t xml:space="preserve"> (e.g. </w:t>
      </w:r>
      <w:r w:rsidR="00444BE4">
        <w:t xml:space="preserve">higher </w:t>
      </w:r>
      <w:r w:rsidR="00D43F9D">
        <w:t>periodicity</w:t>
      </w:r>
      <w:r w:rsidR="00444BE4">
        <w:t xml:space="preserve">, </w:t>
      </w:r>
      <w:r w:rsidR="00D43F9D">
        <w:t>jitter</w:t>
      </w:r>
      <w:r w:rsidR="00444BE4">
        <w:t>, congestion</w:t>
      </w:r>
      <w:r w:rsidR="00D43F9D">
        <w:t xml:space="preserve">) </w:t>
      </w:r>
      <w:r w:rsidR="00C024C5">
        <w:t>multiple</w:t>
      </w:r>
      <w:r w:rsidR="00D43F9D">
        <w:t xml:space="preserve"> packets </w:t>
      </w:r>
      <w:r w:rsidR="00C024C5">
        <w:t>simultaneously will exist</w:t>
      </w:r>
      <w:r w:rsidR="00D43F9D">
        <w:t xml:space="preserve"> in </w:t>
      </w:r>
      <w:r w:rsidR="00444BE4">
        <w:t xml:space="preserve">the </w:t>
      </w:r>
      <w:r w:rsidR="00D43F9D">
        <w:t xml:space="preserve">buffer and </w:t>
      </w:r>
      <w:r w:rsidR="00444BE4">
        <w:t xml:space="preserve">without delay information </w:t>
      </w:r>
      <w:r w:rsidR="00D43F9D">
        <w:t xml:space="preserve">more packets </w:t>
      </w:r>
      <w:r w:rsidR="00C024C5">
        <w:t>risk to</w:t>
      </w:r>
      <w:r w:rsidR="00444BE4">
        <w:t xml:space="preserve"> miss the deadline target.</w:t>
      </w:r>
    </w:p>
    <w:p w14:paraId="6B8DEB98" w14:textId="66494BCE" w:rsidR="002D1B1D" w:rsidRDefault="002D1B1D">
      <w:pPr>
        <w:overflowPunct/>
        <w:autoSpaceDE/>
        <w:autoSpaceDN/>
        <w:adjustRightInd/>
        <w:spacing w:after="0"/>
        <w:rPr>
          <w:rFonts w:ascii="Arial" w:hAnsi="Arial"/>
        </w:rPr>
      </w:pPr>
      <w:r>
        <w:br w:type="page"/>
      </w:r>
    </w:p>
    <w:p w14:paraId="43A8A172" w14:textId="455B2351"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Single delay information</w:t>
      </w:r>
    </w:p>
    <w:p w14:paraId="42D1AB61" w14:textId="68B3101A" w:rsidR="005A53E8" w:rsidRDefault="00E71DEE" w:rsidP="00CE0424">
      <w:pPr>
        <w:pStyle w:val="BodyText"/>
      </w:pPr>
      <w:r>
        <w:rPr>
          <w:noProof/>
        </w:rPr>
        <w:drawing>
          <wp:inline distT="0" distB="0" distL="0" distR="0" wp14:anchorId="387DB37A" wp14:editId="1599E2C8">
            <wp:extent cx="4707880" cy="2534900"/>
            <wp:effectExtent l="0" t="0" r="0"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61195" cy="2563607"/>
                    </a:xfrm>
                    <a:prstGeom prst="rect">
                      <a:avLst/>
                    </a:prstGeom>
                  </pic:spPr>
                </pic:pic>
              </a:graphicData>
            </a:graphic>
          </wp:inline>
        </w:drawing>
      </w:r>
    </w:p>
    <w:p w14:paraId="5AD35934" w14:textId="11120822" w:rsidR="00811AEE" w:rsidRDefault="005B5113" w:rsidP="00BE05DC">
      <w:pPr>
        <w:pStyle w:val="BodyText"/>
      </w:pPr>
      <w:r>
        <w:t xml:space="preserve">With </w:t>
      </w:r>
      <w:r w:rsidR="003932D6">
        <w:t xml:space="preserve">a </w:t>
      </w:r>
      <w:r>
        <w:t xml:space="preserve">single </w:t>
      </w:r>
      <w:r w:rsidR="00D516DA">
        <w:t xml:space="preserve">delay </w:t>
      </w:r>
      <w:r>
        <w:t xml:space="preserve">value </w:t>
      </w:r>
      <w:r w:rsidR="003932D6">
        <w:t>reported the</w:t>
      </w:r>
      <w:r>
        <w:t xml:space="preserve"> scheduler can </w:t>
      </w:r>
      <w:r w:rsidR="003932D6">
        <w:t xml:space="preserve">improve the situation </w:t>
      </w:r>
      <w:r w:rsidR="00D516DA">
        <w:t xml:space="preserve">also in the complicated scenario </w:t>
      </w:r>
      <w:r w:rsidR="003932D6">
        <w:t xml:space="preserve">but still </w:t>
      </w:r>
      <w:r w:rsidR="00D516DA">
        <w:t xml:space="preserve">risk to </w:t>
      </w:r>
      <w:r w:rsidR="003932D6">
        <w:t xml:space="preserve">make the incorrect decision </w:t>
      </w:r>
      <w:r w:rsidR="00D516DA">
        <w:t>(</w:t>
      </w:r>
      <w:r>
        <w:t>t=4</w:t>
      </w:r>
      <w:r w:rsidR="00D516DA">
        <w:t>)</w:t>
      </w:r>
      <w:r>
        <w:t xml:space="preserve"> </w:t>
      </w:r>
      <w:r w:rsidR="003932D6">
        <w:t xml:space="preserve">since it </w:t>
      </w:r>
      <w:r w:rsidR="00C14E5A">
        <w:t xml:space="preserve">doesn’t know that </w:t>
      </w:r>
      <w:r w:rsidR="003932D6">
        <w:t xml:space="preserve">the </w:t>
      </w:r>
      <w:r w:rsidR="00C14E5A">
        <w:t xml:space="preserve">packets belonging to </w:t>
      </w:r>
      <w:r w:rsidR="00D516DA">
        <w:t xml:space="preserve">another </w:t>
      </w:r>
      <w:r w:rsidR="00C14E5A">
        <w:t xml:space="preserve">PDU Set </w:t>
      </w:r>
      <w:r w:rsidR="003932D6">
        <w:t>should belong</w:t>
      </w:r>
      <w:r w:rsidR="00C14E5A">
        <w:t xml:space="preserve"> </w:t>
      </w:r>
      <w:r w:rsidR="00D516DA">
        <w:t>in</w:t>
      </w:r>
      <w:r w:rsidR="007560D8">
        <w:t xml:space="preserve"> a different delay bucket.</w:t>
      </w:r>
    </w:p>
    <w:p w14:paraId="1EF35092" w14:textId="77777777" w:rsidR="00811AEE" w:rsidRDefault="00811AEE" w:rsidP="00BE05DC">
      <w:pPr>
        <w:pStyle w:val="BodyText"/>
      </w:pPr>
    </w:p>
    <w:p w14:paraId="5CC04F0B" w14:textId="688609A2"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Delay buckets</w:t>
      </w:r>
    </w:p>
    <w:p w14:paraId="3B802150" w14:textId="1F590A31" w:rsidR="005A53E8" w:rsidRDefault="00E71DEE" w:rsidP="00CE0424">
      <w:pPr>
        <w:pStyle w:val="BodyText"/>
      </w:pPr>
      <w:r>
        <w:rPr>
          <w:noProof/>
        </w:rPr>
        <w:drawing>
          <wp:inline distT="0" distB="0" distL="0" distR="0" wp14:anchorId="35E8AA35" wp14:editId="2B2F5E0A">
            <wp:extent cx="6086586" cy="2953942"/>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33411" cy="2976667"/>
                    </a:xfrm>
                    <a:prstGeom prst="rect">
                      <a:avLst/>
                    </a:prstGeom>
                  </pic:spPr>
                </pic:pic>
              </a:graphicData>
            </a:graphic>
          </wp:inline>
        </w:drawing>
      </w:r>
    </w:p>
    <w:p w14:paraId="3D6BEBBD" w14:textId="7A0F1B26" w:rsidR="003A7EF3" w:rsidRPr="00CE0424" w:rsidRDefault="007560D8" w:rsidP="00CE0424">
      <w:pPr>
        <w:pStyle w:val="BodyText"/>
      </w:pPr>
      <w:r>
        <w:t xml:space="preserve">With </w:t>
      </w:r>
      <w:r w:rsidR="003932D6">
        <w:t xml:space="preserve">a </w:t>
      </w:r>
      <w:r>
        <w:t xml:space="preserve">delay bucket solution the scheduler </w:t>
      </w:r>
      <w:r w:rsidR="003932D6">
        <w:t>can get</w:t>
      </w:r>
      <w:r>
        <w:t xml:space="preserve"> the </w:t>
      </w:r>
      <w:r w:rsidR="003932D6">
        <w:t xml:space="preserve">delay </w:t>
      </w:r>
      <w:r>
        <w:t xml:space="preserve">granularity to take the </w:t>
      </w:r>
      <w:r w:rsidR="003932D6">
        <w:t>optimal</w:t>
      </w:r>
      <w:r>
        <w:t xml:space="preserve"> decision</w:t>
      </w:r>
      <w:r w:rsidR="003932D6">
        <w:t xml:space="preserve"> at all time instances.</w:t>
      </w:r>
    </w:p>
    <w:sectPr w:rsidR="003A7EF3" w:rsidRPr="00CE0424" w:rsidSect="00064E3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03F25" w14:textId="77777777" w:rsidR="00EF6411" w:rsidRDefault="00EF6411">
      <w:r>
        <w:separator/>
      </w:r>
    </w:p>
  </w:endnote>
  <w:endnote w:type="continuationSeparator" w:id="0">
    <w:p w14:paraId="12AB2753" w14:textId="77777777" w:rsidR="00EF6411" w:rsidRDefault="00EF6411">
      <w:r>
        <w:continuationSeparator/>
      </w:r>
    </w:p>
  </w:endnote>
  <w:endnote w:type="continuationNotice" w:id="1">
    <w:p w14:paraId="4B016F88" w14:textId="77777777" w:rsidR="00EF6411" w:rsidRDefault="00EF6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36E2" w14:textId="77777777" w:rsidR="00EF6411" w:rsidRDefault="00EF6411">
      <w:r>
        <w:separator/>
      </w:r>
    </w:p>
  </w:footnote>
  <w:footnote w:type="continuationSeparator" w:id="0">
    <w:p w14:paraId="55231DE0" w14:textId="77777777" w:rsidR="00EF6411" w:rsidRDefault="00EF6411">
      <w:r>
        <w:continuationSeparator/>
      </w:r>
    </w:p>
  </w:footnote>
  <w:footnote w:type="continuationNotice" w:id="1">
    <w:p w14:paraId="464799BB" w14:textId="77777777" w:rsidR="00EF6411" w:rsidRDefault="00EF6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9"/>
  </w:num>
  <w:num w:numId="2" w16cid:durableId="582224878">
    <w:abstractNumId w:val="7"/>
  </w:num>
  <w:num w:numId="3" w16cid:durableId="1877815550">
    <w:abstractNumId w:val="0"/>
  </w:num>
  <w:num w:numId="4" w16cid:durableId="638649196">
    <w:abstractNumId w:val="10"/>
  </w:num>
  <w:num w:numId="5" w16cid:durableId="1325475375">
    <w:abstractNumId w:val="12"/>
  </w:num>
  <w:num w:numId="6" w16cid:durableId="1113592397">
    <w:abstractNumId w:val="13"/>
  </w:num>
  <w:num w:numId="7" w16cid:durableId="1847137624">
    <w:abstractNumId w:val="3"/>
  </w:num>
  <w:num w:numId="8" w16cid:durableId="526597527">
    <w:abstractNumId w:val="5"/>
  </w:num>
  <w:num w:numId="9" w16cid:durableId="2011524079">
    <w:abstractNumId w:val="2"/>
  </w:num>
  <w:num w:numId="10" w16cid:durableId="772897741">
    <w:abstractNumId w:val="16"/>
  </w:num>
  <w:num w:numId="11" w16cid:durableId="273750105">
    <w:abstractNumId w:val="6"/>
  </w:num>
  <w:num w:numId="12" w16cid:durableId="1278368801">
    <w:abstractNumId w:val="14"/>
  </w:num>
  <w:num w:numId="13" w16cid:durableId="68043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5"/>
  </w:num>
  <w:num w:numId="15" w16cid:durableId="1485387164">
    <w:abstractNumId w:val="4"/>
  </w:num>
  <w:num w:numId="16" w16cid:durableId="1783913057">
    <w:abstractNumId w:val="8"/>
  </w:num>
  <w:num w:numId="17" w16cid:durableId="2109765107">
    <w:abstractNumId w:val="1"/>
  </w:num>
  <w:num w:numId="18" w16cid:durableId="1880776078">
    <w:abstractNumId w:val="1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3BD"/>
    <w:rsid w:val="000019D4"/>
    <w:rsid w:val="00002616"/>
    <w:rsid w:val="00002A37"/>
    <w:rsid w:val="00002D1E"/>
    <w:rsid w:val="00003648"/>
    <w:rsid w:val="00003B00"/>
    <w:rsid w:val="00003D0D"/>
    <w:rsid w:val="000040B5"/>
    <w:rsid w:val="000047D0"/>
    <w:rsid w:val="00004C17"/>
    <w:rsid w:val="00004E04"/>
    <w:rsid w:val="00004FC2"/>
    <w:rsid w:val="0000564C"/>
    <w:rsid w:val="000056C9"/>
    <w:rsid w:val="00005DEB"/>
    <w:rsid w:val="00006446"/>
    <w:rsid w:val="00006896"/>
    <w:rsid w:val="00006A84"/>
    <w:rsid w:val="00006B7D"/>
    <w:rsid w:val="00006E8C"/>
    <w:rsid w:val="000074DC"/>
    <w:rsid w:val="0000785E"/>
    <w:rsid w:val="00007CDC"/>
    <w:rsid w:val="00007E26"/>
    <w:rsid w:val="000102D7"/>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3BB2"/>
    <w:rsid w:val="00013BFE"/>
    <w:rsid w:val="00013C42"/>
    <w:rsid w:val="00013F3C"/>
    <w:rsid w:val="00014278"/>
    <w:rsid w:val="000144C0"/>
    <w:rsid w:val="00014F63"/>
    <w:rsid w:val="00015D15"/>
    <w:rsid w:val="00015DCE"/>
    <w:rsid w:val="0001607D"/>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B24"/>
    <w:rsid w:val="00022BFA"/>
    <w:rsid w:val="00022D9C"/>
    <w:rsid w:val="00022E21"/>
    <w:rsid w:val="000238DB"/>
    <w:rsid w:val="000238F9"/>
    <w:rsid w:val="00023E7D"/>
    <w:rsid w:val="00023F8A"/>
    <w:rsid w:val="00023FDB"/>
    <w:rsid w:val="0002418E"/>
    <w:rsid w:val="0002534B"/>
    <w:rsid w:val="0002564D"/>
    <w:rsid w:val="00025783"/>
    <w:rsid w:val="00025A28"/>
    <w:rsid w:val="00025ECA"/>
    <w:rsid w:val="0002615C"/>
    <w:rsid w:val="000262AF"/>
    <w:rsid w:val="000266A9"/>
    <w:rsid w:val="00026834"/>
    <w:rsid w:val="00026857"/>
    <w:rsid w:val="00027A50"/>
    <w:rsid w:val="00030876"/>
    <w:rsid w:val="00030AAB"/>
    <w:rsid w:val="000311D7"/>
    <w:rsid w:val="00031405"/>
    <w:rsid w:val="00031BB3"/>
    <w:rsid w:val="000325B8"/>
    <w:rsid w:val="000327B0"/>
    <w:rsid w:val="000333D5"/>
    <w:rsid w:val="000343BA"/>
    <w:rsid w:val="00034C15"/>
    <w:rsid w:val="000357DA"/>
    <w:rsid w:val="00035C85"/>
    <w:rsid w:val="00035EF6"/>
    <w:rsid w:val="000360D3"/>
    <w:rsid w:val="000365BA"/>
    <w:rsid w:val="00036BA1"/>
    <w:rsid w:val="00036C90"/>
    <w:rsid w:val="00036CB6"/>
    <w:rsid w:val="00036E3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BA8"/>
    <w:rsid w:val="00043BBF"/>
    <w:rsid w:val="00043D33"/>
    <w:rsid w:val="00044199"/>
    <w:rsid w:val="000443A3"/>
    <w:rsid w:val="000444EF"/>
    <w:rsid w:val="00044588"/>
    <w:rsid w:val="00044752"/>
    <w:rsid w:val="000449E5"/>
    <w:rsid w:val="00044B2D"/>
    <w:rsid w:val="00045EE6"/>
    <w:rsid w:val="00047000"/>
    <w:rsid w:val="000470ED"/>
    <w:rsid w:val="000474ED"/>
    <w:rsid w:val="0004782F"/>
    <w:rsid w:val="0005156C"/>
    <w:rsid w:val="000523A3"/>
    <w:rsid w:val="000528D4"/>
    <w:rsid w:val="00052A07"/>
    <w:rsid w:val="00052A6B"/>
    <w:rsid w:val="00053379"/>
    <w:rsid w:val="000534A6"/>
    <w:rsid w:val="000534E3"/>
    <w:rsid w:val="00053572"/>
    <w:rsid w:val="000535E8"/>
    <w:rsid w:val="00053A04"/>
    <w:rsid w:val="00053E71"/>
    <w:rsid w:val="00054424"/>
    <w:rsid w:val="00054431"/>
    <w:rsid w:val="0005466D"/>
    <w:rsid w:val="00055458"/>
    <w:rsid w:val="000556B0"/>
    <w:rsid w:val="00055E31"/>
    <w:rsid w:val="0005606A"/>
    <w:rsid w:val="00056501"/>
    <w:rsid w:val="000568DB"/>
    <w:rsid w:val="00057117"/>
    <w:rsid w:val="0005712D"/>
    <w:rsid w:val="000575BD"/>
    <w:rsid w:val="0006040D"/>
    <w:rsid w:val="00060579"/>
    <w:rsid w:val="00060ED7"/>
    <w:rsid w:val="0006128A"/>
    <w:rsid w:val="000613AE"/>
    <w:rsid w:val="000616E7"/>
    <w:rsid w:val="00061838"/>
    <w:rsid w:val="00061B68"/>
    <w:rsid w:val="000622DB"/>
    <w:rsid w:val="00062317"/>
    <w:rsid w:val="00062782"/>
    <w:rsid w:val="0006284A"/>
    <w:rsid w:val="00062966"/>
    <w:rsid w:val="0006342D"/>
    <w:rsid w:val="00063568"/>
    <w:rsid w:val="00063C41"/>
    <w:rsid w:val="00063E98"/>
    <w:rsid w:val="00064338"/>
    <w:rsid w:val="000644F3"/>
    <w:rsid w:val="0006487E"/>
    <w:rsid w:val="0006498D"/>
    <w:rsid w:val="00064E39"/>
    <w:rsid w:val="000659B6"/>
    <w:rsid w:val="00065E1A"/>
    <w:rsid w:val="000660F2"/>
    <w:rsid w:val="0006623E"/>
    <w:rsid w:val="00066346"/>
    <w:rsid w:val="000664E3"/>
    <w:rsid w:val="00066726"/>
    <w:rsid w:val="00066ED5"/>
    <w:rsid w:val="00066FE1"/>
    <w:rsid w:val="00067863"/>
    <w:rsid w:val="00067986"/>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1AE6"/>
    <w:rsid w:val="00081F2F"/>
    <w:rsid w:val="00082181"/>
    <w:rsid w:val="000824D8"/>
    <w:rsid w:val="00082A6A"/>
    <w:rsid w:val="0008375F"/>
    <w:rsid w:val="00083925"/>
    <w:rsid w:val="00083CC0"/>
    <w:rsid w:val="000844B8"/>
    <w:rsid w:val="00084CED"/>
    <w:rsid w:val="000854C9"/>
    <w:rsid w:val="000855EB"/>
    <w:rsid w:val="00085B52"/>
    <w:rsid w:val="00086177"/>
    <w:rsid w:val="000864FF"/>
    <w:rsid w:val="000865D9"/>
    <w:rsid w:val="000866F2"/>
    <w:rsid w:val="00086A18"/>
    <w:rsid w:val="00086A3D"/>
    <w:rsid w:val="0008728F"/>
    <w:rsid w:val="0008755D"/>
    <w:rsid w:val="0009009F"/>
    <w:rsid w:val="000905E5"/>
    <w:rsid w:val="00090D65"/>
    <w:rsid w:val="00091557"/>
    <w:rsid w:val="000924C1"/>
    <w:rsid w:val="000924F0"/>
    <w:rsid w:val="000925AC"/>
    <w:rsid w:val="000927C0"/>
    <w:rsid w:val="0009294A"/>
    <w:rsid w:val="00092EAE"/>
    <w:rsid w:val="000931E7"/>
    <w:rsid w:val="000932E2"/>
    <w:rsid w:val="00093474"/>
    <w:rsid w:val="00093A54"/>
    <w:rsid w:val="000940BC"/>
    <w:rsid w:val="00094511"/>
    <w:rsid w:val="00094734"/>
    <w:rsid w:val="00094C06"/>
    <w:rsid w:val="0009510F"/>
    <w:rsid w:val="0009538D"/>
    <w:rsid w:val="00096011"/>
    <w:rsid w:val="00096174"/>
    <w:rsid w:val="0009654D"/>
    <w:rsid w:val="00096F8C"/>
    <w:rsid w:val="0009777B"/>
    <w:rsid w:val="000A0058"/>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889"/>
    <w:rsid w:val="000A5B4B"/>
    <w:rsid w:val="000A6CFD"/>
    <w:rsid w:val="000A7968"/>
    <w:rsid w:val="000A7993"/>
    <w:rsid w:val="000A7AF9"/>
    <w:rsid w:val="000A7BAB"/>
    <w:rsid w:val="000A7BD5"/>
    <w:rsid w:val="000B05FE"/>
    <w:rsid w:val="000B1437"/>
    <w:rsid w:val="000B1CEC"/>
    <w:rsid w:val="000B1F58"/>
    <w:rsid w:val="000B22FC"/>
    <w:rsid w:val="000B24E3"/>
    <w:rsid w:val="000B2719"/>
    <w:rsid w:val="000B2BA6"/>
    <w:rsid w:val="000B3466"/>
    <w:rsid w:val="000B353E"/>
    <w:rsid w:val="000B3A8F"/>
    <w:rsid w:val="000B3EFA"/>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C1C"/>
    <w:rsid w:val="000B6EF1"/>
    <w:rsid w:val="000B7557"/>
    <w:rsid w:val="000C03C3"/>
    <w:rsid w:val="000C0896"/>
    <w:rsid w:val="000C0C5A"/>
    <w:rsid w:val="000C0E84"/>
    <w:rsid w:val="000C111D"/>
    <w:rsid w:val="000C1648"/>
    <w:rsid w:val="000C165A"/>
    <w:rsid w:val="000C1A9A"/>
    <w:rsid w:val="000C1D66"/>
    <w:rsid w:val="000C1F17"/>
    <w:rsid w:val="000C1FFE"/>
    <w:rsid w:val="000C2E19"/>
    <w:rsid w:val="000C3006"/>
    <w:rsid w:val="000C3575"/>
    <w:rsid w:val="000C3609"/>
    <w:rsid w:val="000C3652"/>
    <w:rsid w:val="000C474C"/>
    <w:rsid w:val="000C47F0"/>
    <w:rsid w:val="000C4B5E"/>
    <w:rsid w:val="000C4DF0"/>
    <w:rsid w:val="000C5326"/>
    <w:rsid w:val="000C55F0"/>
    <w:rsid w:val="000C6396"/>
    <w:rsid w:val="000C70E3"/>
    <w:rsid w:val="000C750E"/>
    <w:rsid w:val="000C7535"/>
    <w:rsid w:val="000C786F"/>
    <w:rsid w:val="000C7FB3"/>
    <w:rsid w:val="000D03E1"/>
    <w:rsid w:val="000D05FC"/>
    <w:rsid w:val="000D086D"/>
    <w:rsid w:val="000D087F"/>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797"/>
    <w:rsid w:val="000D4893"/>
    <w:rsid w:val="000D572D"/>
    <w:rsid w:val="000D6096"/>
    <w:rsid w:val="000D682B"/>
    <w:rsid w:val="000D6C59"/>
    <w:rsid w:val="000D7945"/>
    <w:rsid w:val="000D795C"/>
    <w:rsid w:val="000E032F"/>
    <w:rsid w:val="000E0527"/>
    <w:rsid w:val="000E0B90"/>
    <w:rsid w:val="000E106A"/>
    <w:rsid w:val="000E10A6"/>
    <w:rsid w:val="000E10FC"/>
    <w:rsid w:val="000E11B0"/>
    <w:rsid w:val="000E15AB"/>
    <w:rsid w:val="000E1E37"/>
    <w:rsid w:val="000E1E92"/>
    <w:rsid w:val="000E26F2"/>
    <w:rsid w:val="000E2B4F"/>
    <w:rsid w:val="000E36CF"/>
    <w:rsid w:val="000E4208"/>
    <w:rsid w:val="000E42D0"/>
    <w:rsid w:val="000E47FC"/>
    <w:rsid w:val="000E4828"/>
    <w:rsid w:val="000E4D53"/>
    <w:rsid w:val="000E5402"/>
    <w:rsid w:val="000E55EE"/>
    <w:rsid w:val="000E5CC0"/>
    <w:rsid w:val="000E603E"/>
    <w:rsid w:val="000E70B1"/>
    <w:rsid w:val="000E74BF"/>
    <w:rsid w:val="000E7753"/>
    <w:rsid w:val="000F06D6"/>
    <w:rsid w:val="000F09E7"/>
    <w:rsid w:val="000F0EB1"/>
    <w:rsid w:val="000F1106"/>
    <w:rsid w:val="000F1B38"/>
    <w:rsid w:val="000F1CA9"/>
    <w:rsid w:val="000F1F0D"/>
    <w:rsid w:val="000F21A7"/>
    <w:rsid w:val="000F21CF"/>
    <w:rsid w:val="000F302C"/>
    <w:rsid w:val="000F3479"/>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61B0"/>
    <w:rsid w:val="000F6767"/>
    <w:rsid w:val="000F6DF3"/>
    <w:rsid w:val="000F6E7D"/>
    <w:rsid w:val="000F7A0A"/>
    <w:rsid w:val="001002D8"/>
    <w:rsid w:val="001005FF"/>
    <w:rsid w:val="00100ADC"/>
    <w:rsid w:val="00100B7F"/>
    <w:rsid w:val="00100B9F"/>
    <w:rsid w:val="0010123F"/>
    <w:rsid w:val="00101881"/>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739"/>
    <w:rsid w:val="00105883"/>
    <w:rsid w:val="00105B59"/>
    <w:rsid w:val="00105F6A"/>
    <w:rsid w:val="00106047"/>
    <w:rsid w:val="001062FB"/>
    <w:rsid w:val="001063E6"/>
    <w:rsid w:val="001065F9"/>
    <w:rsid w:val="0010689C"/>
    <w:rsid w:val="00106A5C"/>
    <w:rsid w:val="00106B94"/>
    <w:rsid w:val="00107D7D"/>
    <w:rsid w:val="00110811"/>
    <w:rsid w:val="001119C5"/>
    <w:rsid w:val="00111F8B"/>
    <w:rsid w:val="001131C0"/>
    <w:rsid w:val="00113329"/>
    <w:rsid w:val="00113423"/>
    <w:rsid w:val="0011368E"/>
    <w:rsid w:val="001136F4"/>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765"/>
    <w:rsid w:val="001169B1"/>
    <w:rsid w:val="00116F30"/>
    <w:rsid w:val="00117D15"/>
    <w:rsid w:val="0012050A"/>
    <w:rsid w:val="001205A7"/>
    <w:rsid w:val="00120884"/>
    <w:rsid w:val="0012095A"/>
    <w:rsid w:val="0012099A"/>
    <w:rsid w:val="00120A6A"/>
    <w:rsid w:val="00120DE3"/>
    <w:rsid w:val="0012139B"/>
    <w:rsid w:val="001219F5"/>
    <w:rsid w:val="00121A20"/>
    <w:rsid w:val="00121A68"/>
    <w:rsid w:val="0012201A"/>
    <w:rsid w:val="00122057"/>
    <w:rsid w:val="00122C27"/>
    <w:rsid w:val="00122CAF"/>
    <w:rsid w:val="00122CFE"/>
    <w:rsid w:val="00122DF9"/>
    <w:rsid w:val="00123574"/>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7BF"/>
    <w:rsid w:val="0013081B"/>
    <w:rsid w:val="0013085A"/>
    <w:rsid w:val="00130D4E"/>
    <w:rsid w:val="001311ED"/>
    <w:rsid w:val="0013140C"/>
    <w:rsid w:val="00131655"/>
    <w:rsid w:val="0013201F"/>
    <w:rsid w:val="00132192"/>
    <w:rsid w:val="001326B3"/>
    <w:rsid w:val="00132DCD"/>
    <w:rsid w:val="00132FD0"/>
    <w:rsid w:val="00133425"/>
    <w:rsid w:val="00133DA7"/>
    <w:rsid w:val="00134409"/>
    <w:rsid w:val="001344C0"/>
    <w:rsid w:val="00134645"/>
    <w:rsid w:val="001346FA"/>
    <w:rsid w:val="0013471A"/>
    <w:rsid w:val="00134929"/>
    <w:rsid w:val="00134A8B"/>
    <w:rsid w:val="001350D8"/>
    <w:rsid w:val="00135241"/>
    <w:rsid w:val="00135252"/>
    <w:rsid w:val="00135A4F"/>
    <w:rsid w:val="00135B38"/>
    <w:rsid w:val="001362AF"/>
    <w:rsid w:val="0013658B"/>
    <w:rsid w:val="00136A26"/>
    <w:rsid w:val="00136B3E"/>
    <w:rsid w:val="00136D9A"/>
    <w:rsid w:val="00136EC0"/>
    <w:rsid w:val="00137179"/>
    <w:rsid w:val="001375CA"/>
    <w:rsid w:val="00137864"/>
    <w:rsid w:val="00137AB5"/>
    <w:rsid w:val="00137D58"/>
    <w:rsid w:val="00137F0B"/>
    <w:rsid w:val="001401BE"/>
    <w:rsid w:val="001403BB"/>
    <w:rsid w:val="0014097D"/>
    <w:rsid w:val="00140A34"/>
    <w:rsid w:val="00140F26"/>
    <w:rsid w:val="0014229E"/>
    <w:rsid w:val="001422E3"/>
    <w:rsid w:val="001426EB"/>
    <w:rsid w:val="00143508"/>
    <w:rsid w:val="00143541"/>
    <w:rsid w:val="0014416B"/>
    <w:rsid w:val="00144B2E"/>
    <w:rsid w:val="00144C04"/>
    <w:rsid w:val="00144C1B"/>
    <w:rsid w:val="00144CDF"/>
    <w:rsid w:val="00145092"/>
    <w:rsid w:val="001450FA"/>
    <w:rsid w:val="00145238"/>
    <w:rsid w:val="00147ABF"/>
    <w:rsid w:val="00147B4F"/>
    <w:rsid w:val="0015017A"/>
    <w:rsid w:val="0015054D"/>
    <w:rsid w:val="0015089F"/>
    <w:rsid w:val="0015091F"/>
    <w:rsid w:val="00150DC3"/>
    <w:rsid w:val="00151135"/>
    <w:rsid w:val="001511AF"/>
    <w:rsid w:val="00151A3B"/>
    <w:rsid w:val="00151BDA"/>
    <w:rsid w:val="00151E23"/>
    <w:rsid w:val="001526E0"/>
    <w:rsid w:val="00152725"/>
    <w:rsid w:val="001531BB"/>
    <w:rsid w:val="00153C1B"/>
    <w:rsid w:val="00153F88"/>
    <w:rsid w:val="001550F6"/>
    <w:rsid w:val="001551B5"/>
    <w:rsid w:val="001551E0"/>
    <w:rsid w:val="0015531C"/>
    <w:rsid w:val="0015580D"/>
    <w:rsid w:val="00156E9F"/>
    <w:rsid w:val="00157638"/>
    <w:rsid w:val="00157E28"/>
    <w:rsid w:val="00157FCB"/>
    <w:rsid w:val="00160035"/>
    <w:rsid w:val="001604C7"/>
    <w:rsid w:val="00160B1E"/>
    <w:rsid w:val="00160B4F"/>
    <w:rsid w:val="00160BF1"/>
    <w:rsid w:val="0016137A"/>
    <w:rsid w:val="001615B3"/>
    <w:rsid w:val="001622CD"/>
    <w:rsid w:val="00162CBE"/>
    <w:rsid w:val="00163686"/>
    <w:rsid w:val="00163B82"/>
    <w:rsid w:val="00163C15"/>
    <w:rsid w:val="001646F7"/>
    <w:rsid w:val="00164C64"/>
    <w:rsid w:val="00164FA1"/>
    <w:rsid w:val="0016509F"/>
    <w:rsid w:val="0016536E"/>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80C"/>
    <w:rsid w:val="00171F5F"/>
    <w:rsid w:val="0017225B"/>
    <w:rsid w:val="00172640"/>
    <w:rsid w:val="00172BCB"/>
    <w:rsid w:val="001735E3"/>
    <w:rsid w:val="00173A8E"/>
    <w:rsid w:val="00173B72"/>
    <w:rsid w:val="0017438A"/>
    <w:rsid w:val="00174A2C"/>
    <w:rsid w:val="00174C15"/>
    <w:rsid w:val="0017502C"/>
    <w:rsid w:val="001755A0"/>
    <w:rsid w:val="001755A7"/>
    <w:rsid w:val="00175FA1"/>
    <w:rsid w:val="00176103"/>
    <w:rsid w:val="0017623F"/>
    <w:rsid w:val="00176D56"/>
    <w:rsid w:val="001775FD"/>
    <w:rsid w:val="001776B8"/>
    <w:rsid w:val="00177729"/>
    <w:rsid w:val="00177961"/>
    <w:rsid w:val="00177984"/>
    <w:rsid w:val="001779BE"/>
    <w:rsid w:val="00180979"/>
    <w:rsid w:val="001810DB"/>
    <w:rsid w:val="0018143F"/>
    <w:rsid w:val="001819C2"/>
    <w:rsid w:val="00181A58"/>
    <w:rsid w:val="00181FF8"/>
    <w:rsid w:val="001828FB"/>
    <w:rsid w:val="00182A51"/>
    <w:rsid w:val="00182C53"/>
    <w:rsid w:val="0018331D"/>
    <w:rsid w:val="00183AAD"/>
    <w:rsid w:val="00184829"/>
    <w:rsid w:val="00184963"/>
    <w:rsid w:val="00184A64"/>
    <w:rsid w:val="00185059"/>
    <w:rsid w:val="00185388"/>
    <w:rsid w:val="00185FEA"/>
    <w:rsid w:val="0018672B"/>
    <w:rsid w:val="00186832"/>
    <w:rsid w:val="00186DE4"/>
    <w:rsid w:val="00186F0E"/>
    <w:rsid w:val="00190335"/>
    <w:rsid w:val="0019034B"/>
    <w:rsid w:val="001903B4"/>
    <w:rsid w:val="00190AC1"/>
    <w:rsid w:val="00190ADC"/>
    <w:rsid w:val="001916A7"/>
    <w:rsid w:val="00191769"/>
    <w:rsid w:val="001921D9"/>
    <w:rsid w:val="001921F0"/>
    <w:rsid w:val="0019318B"/>
    <w:rsid w:val="0019341A"/>
    <w:rsid w:val="0019393C"/>
    <w:rsid w:val="00193CBC"/>
    <w:rsid w:val="00193F2D"/>
    <w:rsid w:val="0019405B"/>
    <w:rsid w:val="00194088"/>
    <w:rsid w:val="0019560D"/>
    <w:rsid w:val="0019587B"/>
    <w:rsid w:val="00195E47"/>
    <w:rsid w:val="001961C7"/>
    <w:rsid w:val="001967DF"/>
    <w:rsid w:val="00196903"/>
    <w:rsid w:val="00196F67"/>
    <w:rsid w:val="00197006"/>
    <w:rsid w:val="00197599"/>
    <w:rsid w:val="00197786"/>
    <w:rsid w:val="00197DF9"/>
    <w:rsid w:val="001A000C"/>
    <w:rsid w:val="001A0249"/>
    <w:rsid w:val="001A057E"/>
    <w:rsid w:val="001A06F3"/>
    <w:rsid w:val="001A0F4A"/>
    <w:rsid w:val="001A1901"/>
    <w:rsid w:val="001A1987"/>
    <w:rsid w:val="001A19C6"/>
    <w:rsid w:val="001A2564"/>
    <w:rsid w:val="001A2C05"/>
    <w:rsid w:val="001A3098"/>
    <w:rsid w:val="001A3C88"/>
    <w:rsid w:val="001A3E24"/>
    <w:rsid w:val="001A3FD0"/>
    <w:rsid w:val="001A41F2"/>
    <w:rsid w:val="001A4478"/>
    <w:rsid w:val="001A4571"/>
    <w:rsid w:val="001A4617"/>
    <w:rsid w:val="001A4D94"/>
    <w:rsid w:val="001A4DCD"/>
    <w:rsid w:val="001A4E8E"/>
    <w:rsid w:val="001A5590"/>
    <w:rsid w:val="001A57AF"/>
    <w:rsid w:val="001A5F30"/>
    <w:rsid w:val="001A5FB4"/>
    <w:rsid w:val="001A6173"/>
    <w:rsid w:val="001A63AC"/>
    <w:rsid w:val="001A650C"/>
    <w:rsid w:val="001A6804"/>
    <w:rsid w:val="001A6CBA"/>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E6"/>
    <w:rsid w:val="001B56F6"/>
    <w:rsid w:val="001B5A5D"/>
    <w:rsid w:val="001B6584"/>
    <w:rsid w:val="001B6F57"/>
    <w:rsid w:val="001B71E8"/>
    <w:rsid w:val="001C00A2"/>
    <w:rsid w:val="001C01F7"/>
    <w:rsid w:val="001C0220"/>
    <w:rsid w:val="001C08CF"/>
    <w:rsid w:val="001C0A21"/>
    <w:rsid w:val="001C0E2E"/>
    <w:rsid w:val="001C172F"/>
    <w:rsid w:val="001C1C70"/>
    <w:rsid w:val="001C1CE5"/>
    <w:rsid w:val="001C2970"/>
    <w:rsid w:val="001C3310"/>
    <w:rsid w:val="001C3572"/>
    <w:rsid w:val="001C37A4"/>
    <w:rsid w:val="001C3B9C"/>
    <w:rsid w:val="001C3D2A"/>
    <w:rsid w:val="001C3DDE"/>
    <w:rsid w:val="001C412B"/>
    <w:rsid w:val="001C4A35"/>
    <w:rsid w:val="001C53B4"/>
    <w:rsid w:val="001C57BA"/>
    <w:rsid w:val="001C6384"/>
    <w:rsid w:val="001C64B7"/>
    <w:rsid w:val="001C6846"/>
    <w:rsid w:val="001C6D21"/>
    <w:rsid w:val="001C6D4E"/>
    <w:rsid w:val="001C6D7B"/>
    <w:rsid w:val="001C710B"/>
    <w:rsid w:val="001C738A"/>
    <w:rsid w:val="001D0722"/>
    <w:rsid w:val="001D0E5A"/>
    <w:rsid w:val="001D0EF4"/>
    <w:rsid w:val="001D1644"/>
    <w:rsid w:val="001D17B6"/>
    <w:rsid w:val="001D218C"/>
    <w:rsid w:val="001D2678"/>
    <w:rsid w:val="001D338F"/>
    <w:rsid w:val="001D3A2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53"/>
    <w:rsid w:val="001D6E32"/>
    <w:rsid w:val="001D73A3"/>
    <w:rsid w:val="001D7629"/>
    <w:rsid w:val="001D7EB4"/>
    <w:rsid w:val="001E006A"/>
    <w:rsid w:val="001E0387"/>
    <w:rsid w:val="001E1E99"/>
    <w:rsid w:val="001E2520"/>
    <w:rsid w:val="001E2563"/>
    <w:rsid w:val="001E2621"/>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7052"/>
    <w:rsid w:val="001E7ACE"/>
    <w:rsid w:val="001E7AED"/>
    <w:rsid w:val="001E7CC9"/>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2A9"/>
    <w:rsid w:val="001F52E8"/>
    <w:rsid w:val="001F54C5"/>
    <w:rsid w:val="001F61F3"/>
    <w:rsid w:val="001F6411"/>
    <w:rsid w:val="001F662C"/>
    <w:rsid w:val="001F66B5"/>
    <w:rsid w:val="001F6834"/>
    <w:rsid w:val="001F69AE"/>
    <w:rsid w:val="001F6ACD"/>
    <w:rsid w:val="001F7074"/>
    <w:rsid w:val="001F7978"/>
    <w:rsid w:val="001F7B00"/>
    <w:rsid w:val="001F7C1F"/>
    <w:rsid w:val="001F7CEC"/>
    <w:rsid w:val="00200069"/>
    <w:rsid w:val="00200490"/>
    <w:rsid w:val="00200509"/>
    <w:rsid w:val="00200513"/>
    <w:rsid w:val="00200877"/>
    <w:rsid w:val="0020093B"/>
    <w:rsid w:val="00200B6C"/>
    <w:rsid w:val="00200BD4"/>
    <w:rsid w:val="00200FC1"/>
    <w:rsid w:val="00201343"/>
    <w:rsid w:val="0020137F"/>
    <w:rsid w:val="00201E0E"/>
    <w:rsid w:val="00201F3A"/>
    <w:rsid w:val="0020284C"/>
    <w:rsid w:val="00202D10"/>
    <w:rsid w:val="002030CA"/>
    <w:rsid w:val="0020353C"/>
    <w:rsid w:val="0020390A"/>
    <w:rsid w:val="00203A78"/>
    <w:rsid w:val="00203F96"/>
    <w:rsid w:val="0020424C"/>
    <w:rsid w:val="00204BE5"/>
    <w:rsid w:val="00204EF7"/>
    <w:rsid w:val="002061E1"/>
    <w:rsid w:val="002069B2"/>
    <w:rsid w:val="00206B6C"/>
    <w:rsid w:val="00207230"/>
    <w:rsid w:val="00207D6C"/>
    <w:rsid w:val="00207FA3"/>
    <w:rsid w:val="00210158"/>
    <w:rsid w:val="002103C9"/>
    <w:rsid w:val="00211498"/>
    <w:rsid w:val="00211F5E"/>
    <w:rsid w:val="00212079"/>
    <w:rsid w:val="00212321"/>
    <w:rsid w:val="00212A9D"/>
    <w:rsid w:val="00213334"/>
    <w:rsid w:val="00213433"/>
    <w:rsid w:val="002134EB"/>
    <w:rsid w:val="0021429B"/>
    <w:rsid w:val="002145A3"/>
    <w:rsid w:val="00214888"/>
    <w:rsid w:val="00214DA8"/>
    <w:rsid w:val="00215423"/>
    <w:rsid w:val="0021578C"/>
    <w:rsid w:val="002158FA"/>
    <w:rsid w:val="00215B52"/>
    <w:rsid w:val="00216006"/>
    <w:rsid w:val="0021613A"/>
    <w:rsid w:val="002161A7"/>
    <w:rsid w:val="00217B24"/>
    <w:rsid w:val="0022011A"/>
    <w:rsid w:val="00220600"/>
    <w:rsid w:val="0022079D"/>
    <w:rsid w:val="002207B7"/>
    <w:rsid w:val="0022170F"/>
    <w:rsid w:val="0022227A"/>
    <w:rsid w:val="002224DB"/>
    <w:rsid w:val="002226F9"/>
    <w:rsid w:val="00222938"/>
    <w:rsid w:val="00222B22"/>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396"/>
    <w:rsid w:val="002319E4"/>
    <w:rsid w:val="00231BAD"/>
    <w:rsid w:val="002325CA"/>
    <w:rsid w:val="00233F90"/>
    <w:rsid w:val="00234718"/>
    <w:rsid w:val="0023475A"/>
    <w:rsid w:val="00234CDC"/>
    <w:rsid w:val="00235239"/>
    <w:rsid w:val="00235628"/>
    <w:rsid w:val="00235632"/>
    <w:rsid w:val="00235872"/>
    <w:rsid w:val="00235BF9"/>
    <w:rsid w:val="00235DAD"/>
    <w:rsid w:val="00235E2D"/>
    <w:rsid w:val="002363DA"/>
    <w:rsid w:val="00236873"/>
    <w:rsid w:val="002371EF"/>
    <w:rsid w:val="00237C14"/>
    <w:rsid w:val="002404FA"/>
    <w:rsid w:val="002405C2"/>
    <w:rsid w:val="00240974"/>
    <w:rsid w:val="002409B3"/>
    <w:rsid w:val="00240F06"/>
    <w:rsid w:val="00240F28"/>
    <w:rsid w:val="002410EE"/>
    <w:rsid w:val="00241134"/>
    <w:rsid w:val="00241158"/>
    <w:rsid w:val="00241559"/>
    <w:rsid w:val="0024254E"/>
    <w:rsid w:val="00242AC4"/>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67C0"/>
    <w:rsid w:val="00256BDB"/>
    <w:rsid w:val="00256F9F"/>
    <w:rsid w:val="00257543"/>
    <w:rsid w:val="002576B4"/>
    <w:rsid w:val="00257795"/>
    <w:rsid w:val="002577DD"/>
    <w:rsid w:val="002579B9"/>
    <w:rsid w:val="00257EFB"/>
    <w:rsid w:val="0026005A"/>
    <w:rsid w:val="00260800"/>
    <w:rsid w:val="00260EAF"/>
    <w:rsid w:val="002617E7"/>
    <w:rsid w:val="00261AC8"/>
    <w:rsid w:val="00261EFC"/>
    <w:rsid w:val="00263D25"/>
    <w:rsid w:val="00264228"/>
    <w:rsid w:val="00264287"/>
    <w:rsid w:val="00264334"/>
    <w:rsid w:val="0026473E"/>
    <w:rsid w:val="0026592E"/>
    <w:rsid w:val="00266214"/>
    <w:rsid w:val="00266B70"/>
    <w:rsid w:val="0026739E"/>
    <w:rsid w:val="0026775A"/>
    <w:rsid w:val="00267765"/>
    <w:rsid w:val="00267C08"/>
    <w:rsid w:val="00267C83"/>
    <w:rsid w:val="00267FC7"/>
    <w:rsid w:val="00270F1B"/>
    <w:rsid w:val="0027144F"/>
    <w:rsid w:val="00271813"/>
    <w:rsid w:val="0027188C"/>
    <w:rsid w:val="00271E11"/>
    <w:rsid w:val="00271F3A"/>
    <w:rsid w:val="00271F9C"/>
    <w:rsid w:val="0027265B"/>
    <w:rsid w:val="002726AA"/>
    <w:rsid w:val="00272AA2"/>
    <w:rsid w:val="00272C53"/>
    <w:rsid w:val="00272F67"/>
    <w:rsid w:val="00272FC9"/>
    <w:rsid w:val="002730AB"/>
    <w:rsid w:val="00273278"/>
    <w:rsid w:val="00273584"/>
    <w:rsid w:val="0027358E"/>
    <w:rsid w:val="002737F4"/>
    <w:rsid w:val="00274573"/>
    <w:rsid w:val="00275051"/>
    <w:rsid w:val="00275186"/>
    <w:rsid w:val="0027582D"/>
    <w:rsid w:val="002759AE"/>
    <w:rsid w:val="002760FF"/>
    <w:rsid w:val="002761B8"/>
    <w:rsid w:val="00276E7E"/>
    <w:rsid w:val="002770EB"/>
    <w:rsid w:val="002774B4"/>
    <w:rsid w:val="00277D01"/>
    <w:rsid w:val="00277D21"/>
    <w:rsid w:val="00280395"/>
    <w:rsid w:val="002805F5"/>
    <w:rsid w:val="0028063B"/>
    <w:rsid w:val="00280751"/>
    <w:rsid w:val="0028093D"/>
    <w:rsid w:val="00280D0F"/>
    <w:rsid w:val="00280EE7"/>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533F"/>
    <w:rsid w:val="00285D8C"/>
    <w:rsid w:val="0028680F"/>
    <w:rsid w:val="002869C9"/>
    <w:rsid w:val="00286ACD"/>
    <w:rsid w:val="00287838"/>
    <w:rsid w:val="00287B54"/>
    <w:rsid w:val="002900B9"/>
    <w:rsid w:val="002902A1"/>
    <w:rsid w:val="00290562"/>
    <w:rsid w:val="002907B5"/>
    <w:rsid w:val="0029093E"/>
    <w:rsid w:val="00291269"/>
    <w:rsid w:val="00291744"/>
    <w:rsid w:val="00291831"/>
    <w:rsid w:val="0029194D"/>
    <w:rsid w:val="002923FB"/>
    <w:rsid w:val="00292429"/>
    <w:rsid w:val="00292A56"/>
    <w:rsid w:val="00292B2F"/>
    <w:rsid w:val="00292EB7"/>
    <w:rsid w:val="00292F3F"/>
    <w:rsid w:val="00293126"/>
    <w:rsid w:val="002931C1"/>
    <w:rsid w:val="00293B57"/>
    <w:rsid w:val="00293D88"/>
    <w:rsid w:val="00293F0E"/>
    <w:rsid w:val="00294A64"/>
    <w:rsid w:val="00294B2A"/>
    <w:rsid w:val="00295017"/>
    <w:rsid w:val="00295369"/>
    <w:rsid w:val="002961C5"/>
    <w:rsid w:val="00296227"/>
    <w:rsid w:val="00296639"/>
    <w:rsid w:val="00296761"/>
    <w:rsid w:val="00296DFE"/>
    <w:rsid w:val="00296F44"/>
    <w:rsid w:val="00297649"/>
    <w:rsid w:val="0029777D"/>
    <w:rsid w:val="00297F9F"/>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E0A"/>
    <w:rsid w:val="002A2FF3"/>
    <w:rsid w:val="002A45B9"/>
    <w:rsid w:val="002A4873"/>
    <w:rsid w:val="002A48BA"/>
    <w:rsid w:val="002A5044"/>
    <w:rsid w:val="002A5349"/>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41E6"/>
    <w:rsid w:val="002C42EF"/>
    <w:rsid w:val="002C4447"/>
    <w:rsid w:val="002C4514"/>
    <w:rsid w:val="002C49C7"/>
    <w:rsid w:val="002C4E3B"/>
    <w:rsid w:val="002C53D7"/>
    <w:rsid w:val="002C566C"/>
    <w:rsid w:val="002C5696"/>
    <w:rsid w:val="002C5CD9"/>
    <w:rsid w:val="002C5D69"/>
    <w:rsid w:val="002C679E"/>
    <w:rsid w:val="002C6889"/>
    <w:rsid w:val="002C694D"/>
    <w:rsid w:val="002C72D3"/>
    <w:rsid w:val="002C73A0"/>
    <w:rsid w:val="002C73BD"/>
    <w:rsid w:val="002C757A"/>
    <w:rsid w:val="002C761D"/>
    <w:rsid w:val="002C76D8"/>
    <w:rsid w:val="002C796D"/>
    <w:rsid w:val="002C7AD0"/>
    <w:rsid w:val="002D003F"/>
    <w:rsid w:val="002D03CF"/>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54E7"/>
    <w:rsid w:val="002D572E"/>
    <w:rsid w:val="002D582E"/>
    <w:rsid w:val="002D5989"/>
    <w:rsid w:val="002D5B37"/>
    <w:rsid w:val="002D5C86"/>
    <w:rsid w:val="002D60BF"/>
    <w:rsid w:val="002D65C7"/>
    <w:rsid w:val="002D665B"/>
    <w:rsid w:val="002D7637"/>
    <w:rsid w:val="002D78DF"/>
    <w:rsid w:val="002D7D9A"/>
    <w:rsid w:val="002E05AD"/>
    <w:rsid w:val="002E17F2"/>
    <w:rsid w:val="002E18BD"/>
    <w:rsid w:val="002E230A"/>
    <w:rsid w:val="002E2695"/>
    <w:rsid w:val="002E2BDE"/>
    <w:rsid w:val="002E2DC9"/>
    <w:rsid w:val="002E2EC1"/>
    <w:rsid w:val="002E36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B12"/>
    <w:rsid w:val="002F6363"/>
    <w:rsid w:val="002F752E"/>
    <w:rsid w:val="00300CD9"/>
    <w:rsid w:val="00301CE6"/>
    <w:rsid w:val="0030256B"/>
    <w:rsid w:val="00302A8B"/>
    <w:rsid w:val="003039E4"/>
    <w:rsid w:val="00303BDB"/>
    <w:rsid w:val="00303BE3"/>
    <w:rsid w:val="00303D36"/>
    <w:rsid w:val="00303E37"/>
    <w:rsid w:val="00303F1F"/>
    <w:rsid w:val="003049BA"/>
    <w:rsid w:val="00304D83"/>
    <w:rsid w:val="0030501F"/>
    <w:rsid w:val="00305C05"/>
    <w:rsid w:val="00305F9D"/>
    <w:rsid w:val="00306234"/>
    <w:rsid w:val="003062AF"/>
    <w:rsid w:val="00306602"/>
    <w:rsid w:val="0030674A"/>
    <w:rsid w:val="00306C73"/>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C60"/>
    <w:rsid w:val="00313FC0"/>
    <w:rsid w:val="00313FD6"/>
    <w:rsid w:val="00314239"/>
    <w:rsid w:val="003143BD"/>
    <w:rsid w:val="003145BA"/>
    <w:rsid w:val="00314F19"/>
    <w:rsid w:val="00315363"/>
    <w:rsid w:val="003154E3"/>
    <w:rsid w:val="0031594C"/>
    <w:rsid w:val="003159E2"/>
    <w:rsid w:val="00316C48"/>
    <w:rsid w:val="003201E9"/>
    <w:rsid w:val="003203ED"/>
    <w:rsid w:val="003211DF"/>
    <w:rsid w:val="0032260F"/>
    <w:rsid w:val="003227C1"/>
    <w:rsid w:val="00322C9F"/>
    <w:rsid w:val="003238A0"/>
    <w:rsid w:val="0032394D"/>
    <w:rsid w:val="00324199"/>
    <w:rsid w:val="00324419"/>
    <w:rsid w:val="00324A0B"/>
    <w:rsid w:val="00324D23"/>
    <w:rsid w:val="00324DA0"/>
    <w:rsid w:val="00325237"/>
    <w:rsid w:val="00325601"/>
    <w:rsid w:val="0032588E"/>
    <w:rsid w:val="00325AEB"/>
    <w:rsid w:val="0032667E"/>
    <w:rsid w:val="00326949"/>
    <w:rsid w:val="00326C76"/>
    <w:rsid w:val="0032721D"/>
    <w:rsid w:val="00327815"/>
    <w:rsid w:val="00330B67"/>
    <w:rsid w:val="00330C96"/>
    <w:rsid w:val="00331751"/>
    <w:rsid w:val="00331C5B"/>
    <w:rsid w:val="00331CB1"/>
    <w:rsid w:val="003321F6"/>
    <w:rsid w:val="003322CD"/>
    <w:rsid w:val="003322D9"/>
    <w:rsid w:val="003323D5"/>
    <w:rsid w:val="00332BF8"/>
    <w:rsid w:val="003330CA"/>
    <w:rsid w:val="00333336"/>
    <w:rsid w:val="003338B5"/>
    <w:rsid w:val="00333923"/>
    <w:rsid w:val="00333BF6"/>
    <w:rsid w:val="00334221"/>
    <w:rsid w:val="00334579"/>
    <w:rsid w:val="00334589"/>
    <w:rsid w:val="0033561C"/>
    <w:rsid w:val="003356E7"/>
    <w:rsid w:val="00335858"/>
    <w:rsid w:val="0033595C"/>
    <w:rsid w:val="00335A60"/>
    <w:rsid w:val="003363B5"/>
    <w:rsid w:val="00336B90"/>
    <w:rsid w:val="00336BDA"/>
    <w:rsid w:val="003416A0"/>
    <w:rsid w:val="00341A15"/>
    <w:rsid w:val="00341FCA"/>
    <w:rsid w:val="00342BD7"/>
    <w:rsid w:val="00342C47"/>
    <w:rsid w:val="00342CDF"/>
    <w:rsid w:val="00342E41"/>
    <w:rsid w:val="00344301"/>
    <w:rsid w:val="00344973"/>
    <w:rsid w:val="003452AA"/>
    <w:rsid w:val="00345E11"/>
    <w:rsid w:val="00346086"/>
    <w:rsid w:val="003462D4"/>
    <w:rsid w:val="003466D3"/>
    <w:rsid w:val="0034694C"/>
    <w:rsid w:val="00346C64"/>
    <w:rsid w:val="00346DB5"/>
    <w:rsid w:val="003477B1"/>
    <w:rsid w:val="003509EC"/>
    <w:rsid w:val="003509F5"/>
    <w:rsid w:val="00350B59"/>
    <w:rsid w:val="00350F7E"/>
    <w:rsid w:val="00351FB2"/>
    <w:rsid w:val="00352E81"/>
    <w:rsid w:val="0035302C"/>
    <w:rsid w:val="003554E4"/>
    <w:rsid w:val="00355819"/>
    <w:rsid w:val="003559A1"/>
    <w:rsid w:val="00356063"/>
    <w:rsid w:val="0035606E"/>
    <w:rsid w:val="0035653C"/>
    <w:rsid w:val="003565A2"/>
    <w:rsid w:val="00356F82"/>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2C2"/>
    <w:rsid w:val="00363113"/>
    <w:rsid w:val="003633DF"/>
    <w:rsid w:val="003636AF"/>
    <w:rsid w:val="00363B2C"/>
    <w:rsid w:val="003643A8"/>
    <w:rsid w:val="0036466E"/>
    <w:rsid w:val="00364EA6"/>
    <w:rsid w:val="00364F25"/>
    <w:rsid w:val="00364F38"/>
    <w:rsid w:val="00365703"/>
    <w:rsid w:val="00365A21"/>
    <w:rsid w:val="00365A42"/>
    <w:rsid w:val="00365BEB"/>
    <w:rsid w:val="00366545"/>
    <w:rsid w:val="00366AB3"/>
    <w:rsid w:val="00366C19"/>
    <w:rsid w:val="00366CCF"/>
    <w:rsid w:val="00366E8D"/>
    <w:rsid w:val="003671AE"/>
    <w:rsid w:val="0036784B"/>
    <w:rsid w:val="0036787B"/>
    <w:rsid w:val="003703FD"/>
    <w:rsid w:val="00370C3F"/>
    <w:rsid w:val="00370E47"/>
    <w:rsid w:val="00370EE5"/>
    <w:rsid w:val="0037194E"/>
    <w:rsid w:val="00372075"/>
    <w:rsid w:val="00372472"/>
    <w:rsid w:val="00372781"/>
    <w:rsid w:val="00372A7A"/>
    <w:rsid w:val="00373369"/>
    <w:rsid w:val="0037337B"/>
    <w:rsid w:val="0037370D"/>
    <w:rsid w:val="00373AED"/>
    <w:rsid w:val="003742AC"/>
    <w:rsid w:val="003742F0"/>
    <w:rsid w:val="00374681"/>
    <w:rsid w:val="00374682"/>
    <w:rsid w:val="00374DBD"/>
    <w:rsid w:val="0037550A"/>
    <w:rsid w:val="00375724"/>
    <w:rsid w:val="00375772"/>
    <w:rsid w:val="003762DC"/>
    <w:rsid w:val="00376769"/>
    <w:rsid w:val="00377C6F"/>
    <w:rsid w:val="00377CE1"/>
    <w:rsid w:val="00380297"/>
    <w:rsid w:val="0038065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9007C"/>
    <w:rsid w:val="0039060F"/>
    <w:rsid w:val="00390758"/>
    <w:rsid w:val="003912AD"/>
    <w:rsid w:val="00391393"/>
    <w:rsid w:val="0039144C"/>
    <w:rsid w:val="00391B12"/>
    <w:rsid w:val="00391C80"/>
    <w:rsid w:val="0039247D"/>
    <w:rsid w:val="00392835"/>
    <w:rsid w:val="003932D6"/>
    <w:rsid w:val="003938BC"/>
    <w:rsid w:val="003939FF"/>
    <w:rsid w:val="00393EB1"/>
    <w:rsid w:val="003941FF"/>
    <w:rsid w:val="003942FC"/>
    <w:rsid w:val="003947D0"/>
    <w:rsid w:val="00394E73"/>
    <w:rsid w:val="00395217"/>
    <w:rsid w:val="003957D9"/>
    <w:rsid w:val="00395D65"/>
    <w:rsid w:val="00395F1F"/>
    <w:rsid w:val="00395F82"/>
    <w:rsid w:val="003968C5"/>
    <w:rsid w:val="00396AB7"/>
    <w:rsid w:val="00396EC7"/>
    <w:rsid w:val="00396F28"/>
    <w:rsid w:val="00397704"/>
    <w:rsid w:val="003978E6"/>
    <w:rsid w:val="00397A6C"/>
    <w:rsid w:val="003A02BE"/>
    <w:rsid w:val="003A04BA"/>
    <w:rsid w:val="003A05A8"/>
    <w:rsid w:val="003A0AC9"/>
    <w:rsid w:val="003A0C75"/>
    <w:rsid w:val="003A2223"/>
    <w:rsid w:val="003A27D6"/>
    <w:rsid w:val="003A27E4"/>
    <w:rsid w:val="003A2A0F"/>
    <w:rsid w:val="003A3086"/>
    <w:rsid w:val="003A32F4"/>
    <w:rsid w:val="003A34BF"/>
    <w:rsid w:val="003A40DA"/>
    <w:rsid w:val="003A45A1"/>
    <w:rsid w:val="003A5B0A"/>
    <w:rsid w:val="003A602D"/>
    <w:rsid w:val="003A6291"/>
    <w:rsid w:val="003A6374"/>
    <w:rsid w:val="003A6638"/>
    <w:rsid w:val="003A6BAC"/>
    <w:rsid w:val="003A70A4"/>
    <w:rsid w:val="003A7513"/>
    <w:rsid w:val="003A7EF3"/>
    <w:rsid w:val="003A7FD4"/>
    <w:rsid w:val="003B00B5"/>
    <w:rsid w:val="003B0579"/>
    <w:rsid w:val="003B0815"/>
    <w:rsid w:val="003B0EA4"/>
    <w:rsid w:val="003B159C"/>
    <w:rsid w:val="003B1CF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11C8"/>
    <w:rsid w:val="003C1512"/>
    <w:rsid w:val="003C1C01"/>
    <w:rsid w:val="003C1CF4"/>
    <w:rsid w:val="003C1DC8"/>
    <w:rsid w:val="003C1E4A"/>
    <w:rsid w:val="003C2702"/>
    <w:rsid w:val="003C2C83"/>
    <w:rsid w:val="003C439D"/>
    <w:rsid w:val="003C5566"/>
    <w:rsid w:val="003C575D"/>
    <w:rsid w:val="003C5938"/>
    <w:rsid w:val="003C5D10"/>
    <w:rsid w:val="003C5DCB"/>
    <w:rsid w:val="003C675E"/>
    <w:rsid w:val="003C725C"/>
    <w:rsid w:val="003C7600"/>
    <w:rsid w:val="003C7806"/>
    <w:rsid w:val="003C78F2"/>
    <w:rsid w:val="003C7A5E"/>
    <w:rsid w:val="003C7FA7"/>
    <w:rsid w:val="003D0432"/>
    <w:rsid w:val="003D0E7D"/>
    <w:rsid w:val="003D0F58"/>
    <w:rsid w:val="003D1005"/>
    <w:rsid w:val="003D109F"/>
    <w:rsid w:val="003D219F"/>
    <w:rsid w:val="003D2478"/>
    <w:rsid w:val="003D28CF"/>
    <w:rsid w:val="003D2B70"/>
    <w:rsid w:val="003D2D0B"/>
    <w:rsid w:val="003D33F6"/>
    <w:rsid w:val="003D36A0"/>
    <w:rsid w:val="003D3BC9"/>
    <w:rsid w:val="003D3C2C"/>
    <w:rsid w:val="003D3C41"/>
    <w:rsid w:val="003D3C45"/>
    <w:rsid w:val="003D405E"/>
    <w:rsid w:val="003D41F9"/>
    <w:rsid w:val="003D420B"/>
    <w:rsid w:val="003D428A"/>
    <w:rsid w:val="003D42CF"/>
    <w:rsid w:val="003D43BA"/>
    <w:rsid w:val="003D46A1"/>
    <w:rsid w:val="003D5408"/>
    <w:rsid w:val="003D57E4"/>
    <w:rsid w:val="003D5B1F"/>
    <w:rsid w:val="003D5BE5"/>
    <w:rsid w:val="003D659F"/>
    <w:rsid w:val="003D6635"/>
    <w:rsid w:val="003D68D9"/>
    <w:rsid w:val="003D6A7F"/>
    <w:rsid w:val="003D710E"/>
    <w:rsid w:val="003D7351"/>
    <w:rsid w:val="003D79BE"/>
    <w:rsid w:val="003D7EF8"/>
    <w:rsid w:val="003E040B"/>
    <w:rsid w:val="003E07A3"/>
    <w:rsid w:val="003E0A64"/>
    <w:rsid w:val="003E0E17"/>
    <w:rsid w:val="003E15FA"/>
    <w:rsid w:val="003E196C"/>
    <w:rsid w:val="003E2B14"/>
    <w:rsid w:val="003E30B0"/>
    <w:rsid w:val="003E3188"/>
    <w:rsid w:val="003E3284"/>
    <w:rsid w:val="003E32BA"/>
    <w:rsid w:val="003E3613"/>
    <w:rsid w:val="003E3B7B"/>
    <w:rsid w:val="003E4106"/>
    <w:rsid w:val="003E55DF"/>
    <w:rsid w:val="003E55E4"/>
    <w:rsid w:val="003E570E"/>
    <w:rsid w:val="003E5AAD"/>
    <w:rsid w:val="003E5AFE"/>
    <w:rsid w:val="003E6616"/>
    <w:rsid w:val="003E6C0B"/>
    <w:rsid w:val="003E74E3"/>
    <w:rsid w:val="003E7769"/>
    <w:rsid w:val="003F05C7"/>
    <w:rsid w:val="003F081D"/>
    <w:rsid w:val="003F095D"/>
    <w:rsid w:val="003F121C"/>
    <w:rsid w:val="003F22E2"/>
    <w:rsid w:val="003F241F"/>
    <w:rsid w:val="003F247E"/>
    <w:rsid w:val="003F273F"/>
    <w:rsid w:val="003F2CD4"/>
    <w:rsid w:val="003F3BDF"/>
    <w:rsid w:val="003F403D"/>
    <w:rsid w:val="003F4B71"/>
    <w:rsid w:val="003F4F8A"/>
    <w:rsid w:val="003F513A"/>
    <w:rsid w:val="003F5782"/>
    <w:rsid w:val="003F62E2"/>
    <w:rsid w:val="003F68C0"/>
    <w:rsid w:val="003F68C1"/>
    <w:rsid w:val="003F6944"/>
    <w:rsid w:val="003F6BBE"/>
    <w:rsid w:val="003F7155"/>
    <w:rsid w:val="003F7722"/>
    <w:rsid w:val="003F7760"/>
    <w:rsid w:val="004000E8"/>
    <w:rsid w:val="00400BB3"/>
    <w:rsid w:val="00400C05"/>
    <w:rsid w:val="00400C47"/>
    <w:rsid w:val="00400C74"/>
    <w:rsid w:val="00401E9D"/>
    <w:rsid w:val="00401FF9"/>
    <w:rsid w:val="00402E2B"/>
    <w:rsid w:val="00402EB6"/>
    <w:rsid w:val="00402EC5"/>
    <w:rsid w:val="00403A74"/>
    <w:rsid w:val="00403F80"/>
    <w:rsid w:val="004042D6"/>
    <w:rsid w:val="00404402"/>
    <w:rsid w:val="004049D4"/>
    <w:rsid w:val="0040512B"/>
    <w:rsid w:val="004052A9"/>
    <w:rsid w:val="0040538C"/>
    <w:rsid w:val="00405509"/>
    <w:rsid w:val="00405A91"/>
    <w:rsid w:val="00405CA5"/>
    <w:rsid w:val="00405D24"/>
    <w:rsid w:val="00407252"/>
    <w:rsid w:val="004072D2"/>
    <w:rsid w:val="0040785C"/>
    <w:rsid w:val="00407CD3"/>
    <w:rsid w:val="00407F92"/>
    <w:rsid w:val="00410134"/>
    <w:rsid w:val="0041078D"/>
    <w:rsid w:val="00410B72"/>
    <w:rsid w:val="00410D77"/>
    <w:rsid w:val="00410F18"/>
    <w:rsid w:val="00410F91"/>
    <w:rsid w:val="004111DE"/>
    <w:rsid w:val="0041249F"/>
    <w:rsid w:val="0041263E"/>
    <w:rsid w:val="00412663"/>
    <w:rsid w:val="00412BA9"/>
    <w:rsid w:val="00413508"/>
    <w:rsid w:val="00413608"/>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75F4"/>
    <w:rsid w:val="004205AF"/>
    <w:rsid w:val="00420BDA"/>
    <w:rsid w:val="00421105"/>
    <w:rsid w:val="004219ED"/>
    <w:rsid w:val="00421BF0"/>
    <w:rsid w:val="00421FC2"/>
    <w:rsid w:val="00422AA4"/>
    <w:rsid w:val="004234FC"/>
    <w:rsid w:val="00423C02"/>
    <w:rsid w:val="00423D4B"/>
    <w:rsid w:val="004241C1"/>
    <w:rsid w:val="004242F4"/>
    <w:rsid w:val="0042434C"/>
    <w:rsid w:val="00424676"/>
    <w:rsid w:val="004252E0"/>
    <w:rsid w:val="00425E14"/>
    <w:rsid w:val="004262BB"/>
    <w:rsid w:val="00426603"/>
    <w:rsid w:val="004268CC"/>
    <w:rsid w:val="00426929"/>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EE6"/>
    <w:rsid w:val="004330C7"/>
    <w:rsid w:val="004334EB"/>
    <w:rsid w:val="004334F0"/>
    <w:rsid w:val="00433864"/>
    <w:rsid w:val="00433911"/>
    <w:rsid w:val="004345C4"/>
    <w:rsid w:val="00434B36"/>
    <w:rsid w:val="00435900"/>
    <w:rsid w:val="00435D2B"/>
    <w:rsid w:val="00436153"/>
    <w:rsid w:val="00436676"/>
    <w:rsid w:val="00436737"/>
    <w:rsid w:val="00436AB9"/>
    <w:rsid w:val="00436B5D"/>
    <w:rsid w:val="00436BAE"/>
    <w:rsid w:val="00437219"/>
    <w:rsid w:val="00437447"/>
    <w:rsid w:val="00437DAB"/>
    <w:rsid w:val="00440890"/>
    <w:rsid w:val="00440C0F"/>
    <w:rsid w:val="00440CBA"/>
    <w:rsid w:val="004410B2"/>
    <w:rsid w:val="004410F1"/>
    <w:rsid w:val="00441A92"/>
    <w:rsid w:val="00441E19"/>
    <w:rsid w:val="00442521"/>
    <w:rsid w:val="00443065"/>
    <w:rsid w:val="004430B8"/>
    <w:rsid w:val="004430D2"/>
    <w:rsid w:val="004431DC"/>
    <w:rsid w:val="00443664"/>
    <w:rsid w:val="0044385B"/>
    <w:rsid w:val="00443B05"/>
    <w:rsid w:val="0044488B"/>
    <w:rsid w:val="00444BE4"/>
    <w:rsid w:val="00444F56"/>
    <w:rsid w:val="00445076"/>
    <w:rsid w:val="00445B60"/>
    <w:rsid w:val="00446488"/>
    <w:rsid w:val="00446E24"/>
    <w:rsid w:val="00447353"/>
    <w:rsid w:val="004475EB"/>
    <w:rsid w:val="00447AFB"/>
    <w:rsid w:val="00447C60"/>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6276"/>
    <w:rsid w:val="00456373"/>
    <w:rsid w:val="00456496"/>
    <w:rsid w:val="0045675C"/>
    <w:rsid w:val="00456B5D"/>
    <w:rsid w:val="00457565"/>
    <w:rsid w:val="004577E2"/>
    <w:rsid w:val="00457B71"/>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43AC"/>
    <w:rsid w:val="004648D2"/>
    <w:rsid w:val="00464C21"/>
    <w:rsid w:val="00465F16"/>
    <w:rsid w:val="0046625D"/>
    <w:rsid w:val="00466704"/>
    <w:rsid w:val="00466963"/>
    <w:rsid w:val="004669E2"/>
    <w:rsid w:val="004670D6"/>
    <w:rsid w:val="0046743D"/>
    <w:rsid w:val="00467950"/>
    <w:rsid w:val="00467BAF"/>
    <w:rsid w:val="00467D30"/>
    <w:rsid w:val="00467EDB"/>
    <w:rsid w:val="00470C31"/>
    <w:rsid w:val="00470DE9"/>
    <w:rsid w:val="00471278"/>
    <w:rsid w:val="00471DE0"/>
    <w:rsid w:val="00471F4E"/>
    <w:rsid w:val="00472225"/>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6A3"/>
    <w:rsid w:val="004826B5"/>
    <w:rsid w:val="00482A1D"/>
    <w:rsid w:val="0048305A"/>
    <w:rsid w:val="00483383"/>
    <w:rsid w:val="0048469E"/>
    <w:rsid w:val="004848D9"/>
    <w:rsid w:val="004854DE"/>
    <w:rsid w:val="0048569D"/>
    <w:rsid w:val="0048589A"/>
    <w:rsid w:val="00486366"/>
    <w:rsid w:val="004865B7"/>
    <w:rsid w:val="00486C37"/>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64F1"/>
    <w:rsid w:val="00496A12"/>
    <w:rsid w:val="004970F6"/>
    <w:rsid w:val="00497156"/>
    <w:rsid w:val="004973CD"/>
    <w:rsid w:val="0049780F"/>
    <w:rsid w:val="00497AF6"/>
    <w:rsid w:val="00497B26"/>
    <w:rsid w:val="00497E94"/>
    <w:rsid w:val="004A045D"/>
    <w:rsid w:val="004A10AC"/>
    <w:rsid w:val="004A10EA"/>
    <w:rsid w:val="004A12AC"/>
    <w:rsid w:val="004A14FF"/>
    <w:rsid w:val="004A16BC"/>
    <w:rsid w:val="004A17E7"/>
    <w:rsid w:val="004A216C"/>
    <w:rsid w:val="004A2194"/>
    <w:rsid w:val="004A2544"/>
    <w:rsid w:val="004A271C"/>
    <w:rsid w:val="004A2B94"/>
    <w:rsid w:val="004A2B9E"/>
    <w:rsid w:val="004A34FE"/>
    <w:rsid w:val="004A37B2"/>
    <w:rsid w:val="004A3AE4"/>
    <w:rsid w:val="004A3D26"/>
    <w:rsid w:val="004A3E17"/>
    <w:rsid w:val="004A3ED5"/>
    <w:rsid w:val="004A45D9"/>
    <w:rsid w:val="004A46D5"/>
    <w:rsid w:val="004A48B1"/>
    <w:rsid w:val="004A4B63"/>
    <w:rsid w:val="004A4CA7"/>
    <w:rsid w:val="004A51AA"/>
    <w:rsid w:val="004A584D"/>
    <w:rsid w:val="004A5D13"/>
    <w:rsid w:val="004A6B8E"/>
    <w:rsid w:val="004A6F96"/>
    <w:rsid w:val="004A7371"/>
    <w:rsid w:val="004A76D3"/>
    <w:rsid w:val="004A7E27"/>
    <w:rsid w:val="004B0BBD"/>
    <w:rsid w:val="004B0C68"/>
    <w:rsid w:val="004B0E74"/>
    <w:rsid w:val="004B1987"/>
    <w:rsid w:val="004B1997"/>
    <w:rsid w:val="004B19C6"/>
    <w:rsid w:val="004B1B31"/>
    <w:rsid w:val="004B1E0F"/>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3898"/>
    <w:rsid w:val="004C3B79"/>
    <w:rsid w:val="004C3C39"/>
    <w:rsid w:val="004C4798"/>
    <w:rsid w:val="004C5060"/>
    <w:rsid w:val="004C561B"/>
    <w:rsid w:val="004C56CA"/>
    <w:rsid w:val="004C57CE"/>
    <w:rsid w:val="004C5AAD"/>
    <w:rsid w:val="004C5B7C"/>
    <w:rsid w:val="004C5F2E"/>
    <w:rsid w:val="004C65B6"/>
    <w:rsid w:val="004C6D87"/>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D2"/>
    <w:rsid w:val="004D46AA"/>
    <w:rsid w:val="004D5028"/>
    <w:rsid w:val="004D50D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2680"/>
    <w:rsid w:val="004E28F9"/>
    <w:rsid w:val="004E2935"/>
    <w:rsid w:val="004E2DAB"/>
    <w:rsid w:val="004E32F3"/>
    <w:rsid w:val="004E3B26"/>
    <w:rsid w:val="004E4038"/>
    <w:rsid w:val="004E44AB"/>
    <w:rsid w:val="004E45B1"/>
    <w:rsid w:val="004E462E"/>
    <w:rsid w:val="004E485B"/>
    <w:rsid w:val="004E4A01"/>
    <w:rsid w:val="004E5026"/>
    <w:rsid w:val="004E56DC"/>
    <w:rsid w:val="004E595B"/>
    <w:rsid w:val="004E5F08"/>
    <w:rsid w:val="004E63BC"/>
    <w:rsid w:val="004E6577"/>
    <w:rsid w:val="004E670F"/>
    <w:rsid w:val="004E6724"/>
    <w:rsid w:val="004E6F9F"/>
    <w:rsid w:val="004E6FF1"/>
    <w:rsid w:val="004E72BB"/>
    <w:rsid w:val="004E72D6"/>
    <w:rsid w:val="004E75DA"/>
    <w:rsid w:val="004E76F4"/>
    <w:rsid w:val="004F0194"/>
    <w:rsid w:val="004F043E"/>
    <w:rsid w:val="004F07FB"/>
    <w:rsid w:val="004F0B4E"/>
    <w:rsid w:val="004F0B6C"/>
    <w:rsid w:val="004F0BA1"/>
    <w:rsid w:val="004F0D4C"/>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BA"/>
    <w:rsid w:val="004F6579"/>
    <w:rsid w:val="004F6A6D"/>
    <w:rsid w:val="004F6C11"/>
    <w:rsid w:val="004F6E9B"/>
    <w:rsid w:val="004F78E3"/>
    <w:rsid w:val="004F7E72"/>
    <w:rsid w:val="004F7ED2"/>
    <w:rsid w:val="00500635"/>
    <w:rsid w:val="0050065C"/>
    <w:rsid w:val="0050080B"/>
    <w:rsid w:val="00500DFD"/>
    <w:rsid w:val="005019D7"/>
    <w:rsid w:val="00501F8B"/>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103"/>
    <w:rsid w:val="0051357C"/>
    <w:rsid w:val="0051392D"/>
    <w:rsid w:val="00514137"/>
    <w:rsid w:val="0051421D"/>
    <w:rsid w:val="005144E9"/>
    <w:rsid w:val="00514FE4"/>
    <w:rsid w:val="00515047"/>
    <w:rsid w:val="005153A7"/>
    <w:rsid w:val="0051541D"/>
    <w:rsid w:val="005154F6"/>
    <w:rsid w:val="0051580B"/>
    <w:rsid w:val="00515889"/>
    <w:rsid w:val="00515DE0"/>
    <w:rsid w:val="00516168"/>
    <w:rsid w:val="00516493"/>
    <w:rsid w:val="00516644"/>
    <w:rsid w:val="00516770"/>
    <w:rsid w:val="00517665"/>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C8"/>
    <w:rsid w:val="005266BA"/>
    <w:rsid w:val="0052673A"/>
    <w:rsid w:val="00526D7E"/>
    <w:rsid w:val="005302E5"/>
    <w:rsid w:val="005303E6"/>
    <w:rsid w:val="00530763"/>
    <w:rsid w:val="005308B7"/>
    <w:rsid w:val="00530DBE"/>
    <w:rsid w:val="00531013"/>
    <w:rsid w:val="00531295"/>
    <w:rsid w:val="00531802"/>
    <w:rsid w:val="00531D11"/>
    <w:rsid w:val="00531F48"/>
    <w:rsid w:val="005324D5"/>
    <w:rsid w:val="00532B8E"/>
    <w:rsid w:val="005333A2"/>
    <w:rsid w:val="005337FA"/>
    <w:rsid w:val="00533835"/>
    <w:rsid w:val="00533EFB"/>
    <w:rsid w:val="005344AA"/>
    <w:rsid w:val="00534B59"/>
    <w:rsid w:val="00534B6A"/>
    <w:rsid w:val="00534DB8"/>
    <w:rsid w:val="005354AA"/>
    <w:rsid w:val="0053589E"/>
    <w:rsid w:val="00535B24"/>
    <w:rsid w:val="00535CEB"/>
    <w:rsid w:val="00536759"/>
    <w:rsid w:val="00536791"/>
    <w:rsid w:val="005367CF"/>
    <w:rsid w:val="0053685B"/>
    <w:rsid w:val="00537341"/>
    <w:rsid w:val="00537C62"/>
    <w:rsid w:val="00540B70"/>
    <w:rsid w:val="00541B53"/>
    <w:rsid w:val="00541C9D"/>
    <w:rsid w:val="0054249F"/>
    <w:rsid w:val="00542872"/>
    <w:rsid w:val="00542C79"/>
    <w:rsid w:val="00542FD3"/>
    <w:rsid w:val="00544260"/>
    <w:rsid w:val="00544335"/>
    <w:rsid w:val="005443F3"/>
    <w:rsid w:val="00544556"/>
    <w:rsid w:val="00544E2E"/>
    <w:rsid w:val="005465E7"/>
    <w:rsid w:val="00546970"/>
    <w:rsid w:val="00546C3C"/>
    <w:rsid w:val="00546E08"/>
    <w:rsid w:val="005472EA"/>
    <w:rsid w:val="00547E8E"/>
    <w:rsid w:val="005501AA"/>
    <w:rsid w:val="005506B8"/>
    <w:rsid w:val="0055090E"/>
    <w:rsid w:val="00550B79"/>
    <w:rsid w:val="00550BB5"/>
    <w:rsid w:val="00551BAE"/>
    <w:rsid w:val="00551BF9"/>
    <w:rsid w:val="00551F3D"/>
    <w:rsid w:val="005524D9"/>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60DAD"/>
    <w:rsid w:val="0056121F"/>
    <w:rsid w:val="00561265"/>
    <w:rsid w:val="00561738"/>
    <w:rsid w:val="0056175E"/>
    <w:rsid w:val="00561972"/>
    <w:rsid w:val="00562EA2"/>
    <w:rsid w:val="00563658"/>
    <w:rsid w:val="00563DA4"/>
    <w:rsid w:val="005643F2"/>
    <w:rsid w:val="0056483B"/>
    <w:rsid w:val="00565803"/>
    <w:rsid w:val="00565D8D"/>
    <w:rsid w:val="005661A7"/>
    <w:rsid w:val="0056656B"/>
    <w:rsid w:val="00566A1E"/>
    <w:rsid w:val="00566E62"/>
    <w:rsid w:val="00566E78"/>
    <w:rsid w:val="00566F73"/>
    <w:rsid w:val="00567269"/>
    <w:rsid w:val="00567310"/>
    <w:rsid w:val="005673AF"/>
    <w:rsid w:val="00567F48"/>
    <w:rsid w:val="00570509"/>
    <w:rsid w:val="00570B61"/>
    <w:rsid w:val="005713B1"/>
    <w:rsid w:val="0057206E"/>
    <w:rsid w:val="00572505"/>
    <w:rsid w:val="005725F1"/>
    <w:rsid w:val="00572B42"/>
    <w:rsid w:val="00572CA2"/>
    <w:rsid w:val="005732A4"/>
    <w:rsid w:val="005732FD"/>
    <w:rsid w:val="005738AD"/>
    <w:rsid w:val="00573A0D"/>
    <w:rsid w:val="00573A52"/>
    <w:rsid w:val="00573FA2"/>
    <w:rsid w:val="00574094"/>
    <w:rsid w:val="00574553"/>
    <w:rsid w:val="0057591F"/>
    <w:rsid w:val="0057632D"/>
    <w:rsid w:val="0057634C"/>
    <w:rsid w:val="0057670D"/>
    <w:rsid w:val="00576804"/>
    <w:rsid w:val="00576E4D"/>
    <w:rsid w:val="00577E9B"/>
    <w:rsid w:val="005821F1"/>
    <w:rsid w:val="0058270B"/>
    <w:rsid w:val="00582809"/>
    <w:rsid w:val="00583BCC"/>
    <w:rsid w:val="00583E93"/>
    <w:rsid w:val="005844D6"/>
    <w:rsid w:val="00584F2B"/>
    <w:rsid w:val="0058510F"/>
    <w:rsid w:val="00585953"/>
    <w:rsid w:val="00587442"/>
    <w:rsid w:val="0058798C"/>
    <w:rsid w:val="00587B25"/>
    <w:rsid w:val="00587B52"/>
    <w:rsid w:val="00590006"/>
    <w:rsid w:val="005900FA"/>
    <w:rsid w:val="00590603"/>
    <w:rsid w:val="00590C6C"/>
    <w:rsid w:val="00590DFD"/>
    <w:rsid w:val="005915E9"/>
    <w:rsid w:val="00591772"/>
    <w:rsid w:val="005920E6"/>
    <w:rsid w:val="005925A1"/>
    <w:rsid w:val="00592E36"/>
    <w:rsid w:val="00593317"/>
    <w:rsid w:val="005935A4"/>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79B"/>
    <w:rsid w:val="0059790B"/>
    <w:rsid w:val="005A03C0"/>
    <w:rsid w:val="005A1301"/>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728F"/>
    <w:rsid w:val="005A76F4"/>
    <w:rsid w:val="005A7A01"/>
    <w:rsid w:val="005B09F7"/>
    <w:rsid w:val="005B0B69"/>
    <w:rsid w:val="005B1407"/>
    <w:rsid w:val="005B1409"/>
    <w:rsid w:val="005B1D21"/>
    <w:rsid w:val="005B27BF"/>
    <w:rsid w:val="005B2ED4"/>
    <w:rsid w:val="005B331C"/>
    <w:rsid w:val="005B35D7"/>
    <w:rsid w:val="005B392A"/>
    <w:rsid w:val="005B398A"/>
    <w:rsid w:val="005B3AA3"/>
    <w:rsid w:val="005B3BCD"/>
    <w:rsid w:val="005B4274"/>
    <w:rsid w:val="005B4629"/>
    <w:rsid w:val="005B5113"/>
    <w:rsid w:val="005B55D9"/>
    <w:rsid w:val="005B5BE7"/>
    <w:rsid w:val="005B6118"/>
    <w:rsid w:val="005B6767"/>
    <w:rsid w:val="005B6A9C"/>
    <w:rsid w:val="005B6B0F"/>
    <w:rsid w:val="005B6B20"/>
    <w:rsid w:val="005B6F83"/>
    <w:rsid w:val="005B7803"/>
    <w:rsid w:val="005B7A20"/>
    <w:rsid w:val="005C09B0"/>
    <w:rsid w:val="005C0D91"/>
    <w:rsid w:val="005C2066"/>
    <w:rsid w:val="005C31BA"/>
    <w:rsid w:val="005C405E"/>
    <w:rsid w:val="005C45F1"/>
    <w:rsid w:val="005C4F06"/>
    <w:rsid w:val="005C5F84"/>
    <w:rsid w:val="005C6F18"/>
    <w:rsid w:val="005C74FB"/>
    <w:rsid w:val="005C7531"/>
    <w:rsid w:val="005C7627"/>
    <w:rsid w:val="005C775A"/>
    <w:rsid w:val="005C7D2F"/>
    <w:rsid w:val="005C7DE4"/>
    <w:rsid w:val="005C7DEC"/>
    <w:rsid w:val="005D023F"/>
    <w:rsid w:val="005D0A6F"/>
    <w:rsid w:val="005D0C60"/>
    <w:rsid w:val="005D0EC4"/>
    <w:rsid w:val="005D1602"/>
    <w:rsid w:val="005D1692"/>
    <w:rsid w:val="005D1F66"/>
    <w:rsid w:val="005D2820"/>
    <w:rsid w:val="005D2EBB"/>
    <w:rsid w:val="005D331F"/>
    <w:rsid w:val="005D3FC4"/>
    <w:rsid w:val="005D413B"/>
    <w:rsid w:val="005D4274"/>
    <w:rsid w:val="005D4777"/>
    <w:rsid w:val="005D4C7D"/>
    <w:rsid w:val="005D4F85"/>
    <w:rsid w:val="005D5337"/>
    <w:rsid w:val="005D5E5E"/>
    <w:rsid w:val="005D6511"/>
    <w:rsid w:val="005D666E"/>
    <w:rsid w:val="005D6CFA"/>
    <w:rsid w:val="005D7469"/>
    <w:rsid w:val="005D7C75"/>
    <w:rsid w:val="005D7F35"/>
    <w:rsid w:val="005E0DBC"/>
    <w:rsid w:val="005E0E96"/>
    <w:rsid w:val="005E11CB"/>
    <w:rsid w:val="005E194C"/>
    <w:rsid w:val="005E1B6B"/>
    <w:rsid w:val="005E1BB1"/>
    <w:rsid w:val="005E1D20"/>
    <w:rsid w:val="005E1D61"/>
    <w:rsid w:val="005E1E05"/>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6295"/>
    <w:rsid w:val="005E727E"/>
    <w:rsid w:val="005E784A"/>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A74"/>
    <w:rsid w:val="00601C79"/>
    <w:rsid w:val="00602390"/>
    <w:rsid w:val="006024ED"/>
    <w:rsid w:val="00602565"/>
    <w:rsid w:val="0060283C"/>
    <w:rsid w:val="0060291E"/>
    <w:rsid w:val="00602AD5"/>
    <w:rsid w:val="00603BCC"/>
    <w:rsid w:val="00603CA3"/>
    <w:rsid w:val="00604F14"/>
    <w:rsid w:val="00605724"/>
    <w:rsid w:val="00605AB3"/>
    <w:rsid w:val="00606202"/>
    <w:rsid w:val="006064FC"/>
    <w:rsid w:val="0060658C"/>
    <w:rsid w:val="00606E0C"/>
    <w:rsid w:val="00607328"/>
    <w:rsid w:val="0060734D"/>
    <w:rsid w:val="006118E7"/>
    <w:rsid w:val="00611B83"/>
    <w:rsid w:val="00611CA5"/>
    <w:rsid w:val="00611F8E"/>
    <w:rsid w:val="006123B7"/>
    <w:rsid w:val="0061282E"/>
    <w:rsid w:val="00612A59"/>
    <w:rsid w:val="00612B74"/>
    <w:rsid w:val="00613257"/>
    <w:rsid w:val="006137FC"/>
    <w:rsid w:val="00613953"/>
    <w:rsid w:val="006140EC"/>
    <w:rsid w:val="00614A4D"/>
    <w:rsid w:val="00615092"/>
    <w:rsid w:val="00615364"/>
    <w:rsid w:val="00615CB9"/>
    <w:rsid w:val="00616682"/>
    <w:rsid w:val="006174CC"/>
    <w:rsid w:val="00617C2F"/>
    <w:rsid w:val="00620A71"/>
    <w:rsid w:val="00620B3B"/>
    <w:rsid w:val="00620D80"/>
    <w:rsid w:val="00621103"/>
    <w:rsid w:val="00622473"/>
    <w:rsid w:val="006224FF"/>
    <w:rsid w:val="00623181"/>
    <w:rsid w:val="006234A6"/>
    <w:rsid w:val="0062360E"/>
    <w:rsid w:val="006237AA"/>
    <w:rsid w:val="00623B7D"/>
    <w:rsid w:val="00623C20"/>
    <w:rsid w:val="00623EF4"/>
    <w:rsid w:val="00624EE3"/>
    <w:rsid w:val="00625539"/>
    <w:rsid w:val="006255FD"/>
    <w:rsid w:val="00625CF7"/>
    <w:rsid w:val="00625D63"/>
    <w:rsid w:val="00625DF1"/>
    <w:rsid w:val="00626055"/>
    <w:rsid w:val="006267D4"/>
    <w:rsid w:val="00627073"/>
    <w:rsid w:val="006275E6"/>
    <w:rsid w:val="00630001"/>
    <w:rsid w:val="006303E7"/>
    <w:rsid w:val="006304D5"/>
    <w:rsid w:val="00630971"/>
    <w:rsid w:val="006309A8"/>
    <w:rsid w:val="00630AB3"/>
    <w:rsid w:val="00630BAD"/>
    <w:rsid w:val="006311B3"/>
    <w:rsid w:val="00631EA5"/>
    <w:rsid w:val="00632089"/>
    <w:rsid w:val="0063284C"/>
    <w:rsid w:val="00632D26"/>
    <w:rsid w:val="00633066"/>
    <w:rsid w:val="00633AFA"/>
    <w:rsid w:val="00633BE8"/>
    <w:rsid w:val="00634357"/>
    <w:rsid w:val="0063435A"/>
    <w:rsid w:val="00634435"/>
    <w:rsid w:val="00634931"/>
    <w:rsid w:val="00634995"/>
    <w:rsid w:val="00635097"/>
    <w:rsid w:val="006352EF"/>
    <w:rsid w:val="00635E07"/>
    <w:rsid w:val="00636398"/>
    <w:rsid w:val="0063661B"/>
    <w:rsid w:val="006368D3"/>
    <w:rsid w:val="00636C51"/>
    <w:rsid w:val="00636F5C"/>
    <w:rsid w:val="006377EC"/>
    <w:rsid w:val="006379A0"/>
    <w:rsid w:val="00640729"/>
    <w:rsid w:val="00640921"/>
    <w:rsid w:val="00640D7C"/>
    <w:rsid w:val="0064110D"/>
    <w:rsid w:val="0064151F"/>
    <w:rsid w:val="00641533"/>
    <w:rsid w:val="006415AF"/>
    <w:rsid w:val="0064183F"/>
    <w:rsid w:val="00641CC2"/>
    <w:rsid w:val="0064208D"/>
    <w:rsid w:val="006420F9"/>
    <w:rsid w:val="006426A3"/>
    <w:rsid w:val="00642CF4"/>
    <w:rsid w:val="00642E78"/>
    <w:rsid w:val="00643240"/>
    <w:rsid w:val="00643475"/>
    <w:rsid w:val="006434A6"/>
    <w:rsid w:val="0064396A"/>
    <w:rsid w:val="00644C24"/>
    <w:rsid w:val="00644CE2"/>
    <w:rsid w:val="00644CE7"/>
    <w:rsid w:val="00644E86"/>
    <w:rsid w:val="00644EFB"/>
    <w:rsid w:val="006450AB"/>
    <w:rsid w:val="00645889"/>
    <w:rsid w:val="00645F69"/>
    <w:rsid w:val="0064624E"/>
    <w:rsid w:val="006463CE"/>
    <w:rsid w:val="0064647C"/>
    <w:rsid w:val="0064657A"/>
    <w:rsid w:val="00646584"/>
    <w:rsid w:val="0064698D"/>
    <w:rsid w:val="00646B20"/>
    <w:rsid w:val="00646B55"/>
    <w:rsid w:val="006470D0"/>
    <w:rsid w:val="006478DC"/>
    <w:rsid w:val="00647EEF"/>
    <w:rsid w:val="00650175"/>
    <w:rsid w:val="00650298"/>
    <w:rsid w:val="00650AB9"/>
    <w:rsid w:val="00650CEE"/>
    <w:rsid w:val="006519B4"/>
    <w:rsid w:val="00651B05"/>
    <w:rsid w:val="006520D8"/>
    <w:rsid w:val="00652375"/>
    <w:rsid w:val="00652936"/>
    <w:rsid w:val="00652B20"/>
    <w:rsid w:val="00652B40"/>
    <w:rsid w:val="00652E71"/>
    <w:rsid w:val="0065364B"/>
    <w:rsid w:val="00653A93"/>
    <w:rsid w:val="006548FA"/>
    <w:rsid w:val="00654C04"/>
    <w:rsid w:val="00654D20"/>
    <w:rsid w:val="00654FDD"/>
    <w:rsid w:val="00655733"/>
    <w:rsid w:val="00655ACD"/>
    <w:rsid w:val="0065634D"/>
    <w:rsid w:val="0065673D"/>
    <w:rsid w:val="0065677C"/>
    <w:rsid w:val="00656A92"/>
    <w:rsid w:val="00656A94"/>
    <w:rsid w:val="00656DDE"/>
    <w:rsid w:val="0066011D"/>
    <w:rsid w:val="00660181"/>
    <w:rsid w:val="00660251"/>
    <w:rsid w:val="006602AB"/>
    <w:rsid w:val="006602DA"/>
    <w:rsid w:val="00660314"/>
    <w:rsid w:val="006603B9"/>
    <w:rsid w:val="006607C0"/>
    <w:rsid w:val="0066083B"/>
    <w:rsid w:val="006613A6"/>
    <w:rsid w:val="00661A10"/>
    <w:rsid w:val="00661E72"/>
    <w:rsid w:val="00662064"/>
    <w:rsid w:val="00662090"/>
    <w:rsid w:val="00662306"/>
    <w:rsid w:val="00662503"/>
    <w:rsid w:val="0066258F"/>
    <w:rsid w:val="006627A2"/>
    <w:rsid w:val="00662A19"/>
    <w:rsid w:val="006634E6"/>
    <w:rsid w:val="00663611"/>
    <w:rsid w:val="00663B64"/>
    <w:rsid w:val="0066446A"/>
    <w:rsid w:val="00664553"/>
    <w:rsid w:val="00664DB4"/>
    <w:rsid w:val="00664FAB"/>
    <w:rsid w:val="00665265"/>
    <w:rsid w:val="006655EE"/>
    <w:rsid w:val="00665AC5"/>
    <w:rsid w:val="0066600C"/>
    <w:rsid w:val="00666113"/>
    <w:rsid w:val="006664FF"/>
    <w:rsid w:val="00666942"/>
    <w:rsid w:val="00667826"/>
    <w:rsid w:val="00667EE7"/>
    <w:rsid w:val="00670527"/>
    <w:rsid w:val="00670922"/>
    <w:rsid w:val="00670A1B"/>
    <w:rsid w:val="00670BE1"/>
    <w:rsid w:val="0067181C"/>
    <w:rsid w:val="00671AB5"/>
    <w:rsid w:val="00671F77"/>
    <w:rsid w:val="00672081"/>
    <w:rsid w:val="0067218F"/>
    <w:rsid w:val="00672D77"/>
    <w:rsid w:val="00673850"/>
    <w:rsid w:val="00673D8B"/>
    <w:rsid w:val="00673F5A"/>
    <w:rsid w:val="006741F2"/>
    <w:rsid w:val="00674CC3"/>
    <w:rsid w:val="006753C5"/>
    <w:rsid w:val="006754DF"/>
    <w:rsid w:val="00675A03"/>
    <w:rsid w:val="00675C72"/>
    <w:rsid w:val="006763D5"/>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BC6"/>
    <w:rsid w:val="00684FE5"/>
    <w:rsid w:val="00685423"/>
    <w:rsid w:val="0068649B"/>
    <w:rsid w:val="006870E1"/>
    <w:rsid w:val="00687286"/>
    <w:rsid w:val="006875E7"/>
    <w:rsid w:val="0068789B"/>
    <w:rsid w:val="00687A2A"/>
    <w:rsid w:val="00687D06"/>
    <w:rsid w:val="006902A1"/>
    <w:rsid w:val="006903BA"/>
    <w:rsid w:val="00690AF7"/>
    <w:rsid w:val="00690BDE"/>
    <w:rsid w:val="00691128"/>
    <w:rsid w:val="00691754"/>
    <w:rsid w:val="00693356"/>
    <w:rsid w:val="00693758"/>
    <w:rsid w:val="006937F8"/>
    <w:rsid w:val="00693AA5"/>
    <w:rsid w:val="00693B09"/>
    <w:rsid w:val="00693CA2"/>
    <w:rsid w:val="00693CD9"/>
    <w:rsid w:val="00693E05"/>
    <w:rsid w:val="0069477C"/>
    <w:rsid w:val="00694AD7"/>
    <w:rsid w:val="00694E4D"/>
    <w:rsid w:val="00695496"/>
    <w:rsid w:val="006956C7"/>
    <w:rsid w:val="00695DE0"/>
    <w:rsid w:val="00695FC2"/>
    <w:rsid w:val="006962F5"/>
    <w:rsid w:val="00696949"/>
    <w:rsid w:val="00697052"/>
    <w:rsid w:val="00697356"/>
    <w:rsid w:val="00697F42"/>
    <w:rsid w:val="006A01D0"/>
    <w:rsid w:val="006A06F0"/>
    <w:rsid w:val="006A0D80"/>
    <w:rsid w:val="006A1634"/>
    <w:rsid w:val="006A22FC"/>
    <w:rsid w:val="006A26E8"/>
    <w:rsid w:val="006A34CB"/>
    <w:rsid w:val="006A36C4"/>
    <w:rsid w:val="006A3991"/>
    <w:rsid w:val="006A3A45"/>
    <w:rsid w:val="006A4155"/>
    <w:rsid w:val="006A46FB"/>
    <w:rsid w:val="006A4E37"/>
    <w:rsid w:val="006A5083"/>
    <w:rsid w:val="006A516C"/>
    <w:rsid w:val="006A5E28"/>
    <w:rsid w:val="006A5EDC"/>
    <w:rsid w:val="006A6695"/>
    <w:rsid w:val="006A6768"/>
    <w:rsid w:val="006A697B"/>
    <w:rsid w:val="006A78B5"/>
    <w:rsid w:val="006A78CB"/>
    <w:rsid w:val="006A7AFF"/>
    <w:rsid w:val="006A7D0D"/>
    <w:rsid w:val="006B099F"/>
    <w:rsid w:val="006B1284"/>
    <w:rsid w:val="006B1489"/>
    <w:rsid w:val="006B1597"/>
    <w:rsid w:val="006B15AA"/>
    <w:rsid w:val="006B1816"/>
    <w:rsid w:val="006B2099"/>
    <w:rsid w:val="006B2467"/>
    <w:rsid w:val="006B2C04"/>
    <w:rsid w:val="006B3454"/>
    <w:rsid w:val="006B35C3"/>
    <w:rsid w:val="006B3650"/>
    <w:rsid w:val="006B37C3"/>
    <w:rsid w:val="006B3AED"/>
    <w:rsid w:val="006B3E02"/>
    <w:rsid w:val="006B3E3B"/>
    <w:rsid w:val="006B3F40"/>
    <w:rsid w:val="006B435C"/>
    <w:rsid w:val="006B4627"/>
    <w:rsid w:val="006B4693"/>
    <w:rsid w:val="006B4EEF"/>
    <w:rsid w:val="006B4FA7"/>
    <w:rsid w:val="006B50CF"/>
    <w:rsid w:val="006B551B"/>
    <w:rsid w:val="006B5EE9"/>
    <w:rsid w:val="006B6160"/>
    <w:rsid w:val="006B67C9"/>
    <w:rsid w:val="006B6E47"/>
    <w:rsid w:val="006B7BAA"/>
    <w:rsid w:val="006C02BE"/>
    <w:rsid w:val="006C03B8"/>
    <w:rsid w:val="006C0DB7"/>
    <w:rsid w:val="006C0E1F"/>
    <w:rsid w:val="006C11D9"/>
    <w:rsid w:val="006C19AB"/>
    <w:rsid w:val="006C1BCA"/>
    <w:rsid w:val="006C21F3"/>
    <w:rsid w:val="006C25BC"/>
    <w:rsid w:val="006C2926"/>
    <w:rsid w:val="006C3694"/>
    <w:rsid w:val="006C4126"/>
    <w:rsid w:val="006C497E"/>
    <w:rsid w:val="006C4D51"/>
    <w:rsid w:val="006C4F19"/>
    <w:rsid w:val="006C566E"/>
    <w:rsid w:val="006C57C3"/>
    <w:rsid w:val="006C5D97"/>
    <w:rsid w:val="006C5EC9"/>
    <w:rsid w:val="006C6059"/>
    <w:rsid w:val="006C6376"/>
    <w:rsid w:val="006C65F8"/>
    <w:rsid w:val="006C71A4"/>
    <w:rsid w:val="006C7522"/>
    <w:rsid w:val="006C7A49"/>
    <w:rsid w:val="006C7F2B"/>
    <w:rsid w:val="006D0CB7"/>
    <w:rsid w:val="006D1592"/>
    <w:rsid w:val="006D1DA3"/>
    <w:rsid w:val="006D223C"/>
    <w:rsid w:val="006D22C5"/>
    <w:rsid w:val="006D2B94"/>
    <w:rsid w:val="006D2CFB"/>
    <w:rsid w:val="006D3540"/>
    <w:rsid w:val="006D3891"/>
    <w:rsid w:val="006D3E16"/>
    <w:rsid w:val="006D426A"/>
    <w:rsid w:val="006D4A67"/>
    <w:rsid w:val="006D52E1"/>
    <w:rsid w:val="006D5822"/>
    <w:rsid w:val="006D5D2A"/>
    <w:rsid w:val="006D5FBC"/>
    <w:rsid w:val="006D6609"/>
    <w:rsid w:val="006D6F08"/>
    <w:rsid w:val="006D6FE5"/>
    <w:rsid w:val="006D7175"/>
    <w:rsid w:val="006D72A0"/>
    <w:rsid w:val="006E062C"/>
    <w:rsid w:val="006E0AA2"/>
    <w:rsid w:val="006E0B17"/>
    <w:rsid w:val="006E12AE"/>
    <w:rsid w:val="006E187D"/>
    <w:rsid w:val="006E1BA9"/>
    <w:rsid w:val="006E1C82"/>
    <w:rsid w:val="006E22EE"/>
    <w:rsid w:val="006E28B7"/>
    <w:rsid w:val="006E2A5B"/>
    <w:rsid w:val="006E2A9B"/>
    <w:rsid w:val="006E2E0D"/>
    <w:rsid w:val="006E3310"/>
    <w:rsid w:val="006E363F"/>
    <w:rsid w:val="006E3699"/>
    <w:rsid w:val="006E3B9F"/>
    <w:rsid w:val="006E3F75"/>
    <w:rsid w:val="006E3FC8"/>
    <w:rsid w:val="006E4E39"/>
    <w:rsid w:val="006E509B"/>
    <w:rsid w:val="006E565E"/>
    <w:rsid w:val="006E673D"/>
    <w:rsid w:val="006E6908"/>
    <w:rsid w:val="006E690C"/>
    <w:rsid w:val="006E6AE3"/>
    <w:rsid w:val="006E6D30"/>
    <w:rsid w:val="006E722A"/>
    <w:rsid w:val="006E73F3"/>
    <w:rsid w:val="006E73F4"/>
    <w:rsid w:val="006E7432"/>
    <w:rsid w:val="006E7465"/>
    <w:rsid w:val="006E788D"/>
    <w:rsid w:val="006E7D3B"/>
    <w:rsid w:val="006F06DE"/>
    <w:rsid w:val="006F0AD3"/>
    <w:rsid w:val="006F17EF"/>
    <w:rsid w:val="006F1B70"/>
    <w:rsid w:val="006F1CE1"/>
    <w:rsid w:val="006F25C9"/>
    <w:rsid w:val="006F2A10"/>
    <w:rsid w:val="006F300E"/>
    <w:rsid w:val="006F32EF"/>
    <w:rsid w:val="006F341D"/>
    <w:rsid w:val="006F3CDE"/>
    <w:rsid w:val="006F40D0"/>
    <w:rsid w:val="006F425E"/>
    <w:rsid w:val="006F464A"/>
    <w:rsid w:val="006F491D"/>
    <w:rsid w:val="006F4D38"/>
    <w:rsid w:val="006F58D4"/>
    <w:rsid w:val="006F6287"/>
    <w:rsid w:val="006F639A"/>
    <w:rsid w:val="006F6404"/>
    <w:rsid w:val="006F64D2"/>
    <w:rsid w:val="006F6582"/>
    <w:rsid w:val="006F6659"/>
    <w:rsid w:val="006F6F78"/>
    <w:rsid w:val="006F7295"/>
    <w:rsid w:val="006F73D4"/>
    <w:rsid w:val="006F74E2"/>
    <w:rsid w:val="006F7AD4"/>
    <w:rsid w:val="006F7C02"/>
    <w:rsid w:val="007002BE"/>
    <w:rsid w:val="00700CC6"/>
    <w:rsid w:val="00701C04"/>
    <w:rsid w:val="0070219B"/>
    <w:rsid w:val="0070346E"/>
    <w:rsid w:val="00703517"/>
    <w:rsid w:val="00703626"/>
    <w:rsid w:val="007036CA"/>
    <w:rsid w:val="007037F3"/>
    <w:rsid w:val="00703BA9"/>
    <w:rsid w:val="00704019"/>
    <w:rsid w:val="00704235"/>
    <w:rsid w:val="0070475A"/>
    <w:rsid w:val="00704DE0"/>
    <w:rsid w:val="00704E6E"/>
    <w:rsid w:val="00704EDB"/>
    <w:rsid w:val="007051DC"/>
    <w:rsid w:val="00705B75"/>
    <w:rsid w:val="00705E50"/>
    <w:rsid w:val="00706101"/>
    <w:rsid w:val="007062C3"/>
    <w:rsid w:val="007068C1"/>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43E3"/>
    <w:rsid w:val="007246E6"/>
    <w:rsid w:val="007251AF"/>
    <w:rsid w:val="007257D0"/>
    <w:rsid w:val="007267DD"/>
    <w:rsid w:val="00726835"/>
    <w:rsid w:val="00726EA6"/>
    <w:rsid w:val="00727208"/>
    <w:rsid w:val="00727680"/>
    <w:rsid w:val="007279C3"/>
    <w:rsid w:val="00727C09"/>
    <w:rsid w:val="00727EDA"/>
    <w:rsid w:val="007307A8"/>
    <w:rsid w:val="00730938"/>
    <w:rsid w:val="00730A76"/>
    <w:rsid w:val="00731A05"/>
    <w:rsid w:val="0073202A"/>
    <w:rsid w:val="0073205D"/>
    <w:rsid w:val="00732340"/>
    <w:rsid w:val="007325DE"/>
    <w:rsid w:val="00732A4F"/>
    <w:rsid w:val="00732A7F"/>
    <w:rsid w:val="00733016"/>
    <w:rsid w:val="007337C3"/>
    <w:rsid w:val="00734021"/>
    <w:rsid w:val="00734636"/>
    <w:rsid w:val="007348B1"/>
    <w:rsid w:val="00734AA4"/>
    <w:rsid w:val="00734AB4"/>
    <w:rsid w:val="00734AC7"/>
    <w:rsid w:val="00734EF9"/>
    <w:rsid w:val="0073509C"/>
    <w:rsid w:val="007353D5"/>
    <w:rsid w:val="00735411"/>
    <w:rsid w:val="007355BB"/>
    <w:rsid w:val="00736012"/>
    <w:rsid w:val="0073627D"/>
    <w:rsid w:val="007362A6"/>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A6D"/>
    <w:rsid w:val="0074524B"/>
    <w:rsid w:val="0074567B"/>
    <w:rsid w:val="00745AB1"/>
    <w:rsid w:val="00746315"/>
    <w:rsid w:val="0074647E"/>
    <w:rsid w:val="00746842"/>
    <w:rsid w:val="00746AD3"/>
    <w:rsid w:val="00746F5E"/>
    <w:rsid w:val="007478BF"/>
    <w:rsid w:val="00747CD4"/>
    <w:rsid w:val="00747D8B"/>
    <w:rsid w:val="00747E9A"/>
    <w:rsid w:val="007505E2"/>
    <w:rsid w:val="00750700"/>
    <w:rsid w:val="0075089B"/>
    <w:rsid w:val="007510D6"/>
    <w:rsid w:val="00751228"/>
    <w:rsid w:val="007518FB"/>
    <w:rsid w:val="00751932"/>
    <w:rsid w:val="00752256"/>
    <w:rsid w:val="007526EC"/>
    <w:rsid w:val="007529BE"/>
    <w:rsid w:val="00752C19"/>
    <w:rsid w:val="00752F9F"/>
    <w:rsid w:val="0075377C"/>
    <w:rsid w:val="007537C6"/>
    <w:rsid w:val="00754014"/>
    <w:rsid w:val="00754159"/>
    <w:rsid w:val="00754FA6"/>
    <w:rsid w:val="0075577F"/>
    <w:rsid w:val="007557AA"/>
    <w:rsid w:val="007558CF"/>
    <w:rsid w:val="007560D8"/>
    <w:rsid w:val="007561D4"/>
    <w:rsid w:val="0075676E"/>
    <w:rsid w:val="007571E1"/>
    <w:rsid w:val="00757A16"/>
    <w:rsid w:val="00757CB6"/>
    <w:rsid w:val="00757FD2"/>
    <w:rsid w:val="0076003C"/>
    <w:rsid w:val="00760484"/>
    <w:rsid w:val="007604B2"/>
    <w:rsid w:val="00760766"/>
    <w:rsid w:val="00760BDF"/>
    <w:rsid w:val="00760D15"/>
    <w:rsid w:val="0076110C"/>
    <w:rsid w:val="007613DA"/>
    <w:rsid w:val="007614BA"/>
    <w:rsid w:val="0076168A"/>
    <w:rsid w:val="00761EC2"/>
    <w:rsid w:val="00761FD1"/>
    <w:rsid w:val="007620F6"/>
    <w:rsid w:val="0076218C"/>
    <w:rsid w:val="007623F6"/>
    <w:rsid w:val="00762A08"/>
    <w:rsid w:val="0076384E"/>
    <w:rsid w:val="007641AC"/>
    <w:rsid w:val="007644AC"/>
    <w:rsid w:val="00765281"/>
    <w:rsid w:val="007658C1"/>
    <w:rsid w:val="00765BA0"/>
    <w:rsid w:val="00765FA0"/>
    <w:rsid w:val="007661EC"/>
    <w:rsid w:val="007662E0"/>
    <w:rsid w:val="007666BC"/>
    <w:rsid w:val="0076680C"/>
    <w:rsid w:val="00766BAD"/>
    <w:rsid w:val="00767163"/>
    <w:rsid w:val="00767892"/>
    <w:rsid w:val="007678E0"/>
    <w:rsid w:val="007700E2"/>
    <w:rsid w:val="007702CA"/>
    <w:rsid w:val="00770399"/>
    <w:rsid w:val="00770EBC"/>
    <w:rsid w:val="007711A2"/>
    <w:rsid w:val="00771822"/>
    <w:rsid w:val="007729A2"/>
    <w:rsid w:val="00772D37"/>
    <w:rsid w:val="00772F30"/>
    <w:rsid w:val="007735E4"/>
    <w:rsid w:val="00774A7A"/>
    <w:rsid w:val="00774C34"/>
    <w:rsid w:val="007751AB"/>
    <w:rsid w:val="007755F2"/>
    <w:rsid w:val="00775626"/>
    <w:rsid w:val="0077562F"/>
    <w:rsid w:val="007764D4"/>
    <w:rsid w:val="00776673"/>
    <w:rsid w:val="0077696B"/>
    <w:rsid w:val="00776971"/>
    <w:rsid w:val="00776E88"/>
    <w:rsid w:val="007772AA"/>
    <w:rsid w:val="007774BC"/>
    <w:rsid w:val="00777984"/>
    <w:rsid w:val="00777DF8"/>
    <w:rsid w:val="0078028B"/>
    <w:rsid w:val="0078070F"/>
    <w:rsid w:val="00780A80"/>
    <w:rsid w:val="0078160F"/>
    <w:rsid w:val="0078177E"/>
    <w:rsid w:val="00781A59"/>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524"/>
    <w:rsid w:val="00787F24"/>
    <w:rsid w:val="007906FA"/>
    <w:rsid w:val="00790732"/>
    <w:rsid w:val="0079078F"/>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777F"/>
    <w:rsid w:val="00797A63"/>
    <w:rsid w:val="00797A95"/>
    <w:rsid w:val="00797DA6"/>
    <w:rsid w:val="00797E31"/>
    <w:rsid w:val="00797EF5"/>
    <w:rsid w:val="007A00BB"/>
    <w:rsid w:val="007A0DC7"/>
    <w:rsid w:val="007A1A37"/>
    <w:rsid w:val="007A1CB3"/>
    <w:rsid w:val="007A1F73"/>
    <w:rsid w:val="007A2001"/>
    <w:rsid w:val="007A21FF"/>
    <w:rsid w:val="007A306F"/>
    <w:rsid w:val="007A37CE"/>
    <w:rsid w:val="007A3B75"/>
    <w:rsid w:val="007A3D9B"/>
    <w:rsid w:val="007A4137"/>
    <w:rsid w:val="007A43A6"/>
    <w:rsid w:val="007A55D7"/>
    <w:rsid w:val="007A58A6"/>
    <w:rsid w:val="007A5E26"/>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F5E"/>
    <w:rsid w:val="007B2D8C"/>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FC0"/>
    <w:rsid w:val="007C5009"/>
    <w:rsid w:val="007C5169"/>
    <w:rsid w:val="007C517D"/>
    <w:rsid w:val="007C5B71"/>
    <w:rsid w:val="007C6032"/>
    <w:rsid w:val="007C60BF"/>
    <w:rsid w:val="007C64BB"/>
    <w:rsid w:val="007C6A07"/>
    <w:rsid w:val="007C6D49"/>
    <w:rsid w:val="007C75A1"/>
    <w:rsid w:val="007C77A5"/>
    <w:rsid w:val="007C7CB7"/>
    <w:rsid w:val="007D0313"/>
    <w:rsid w:val="007D04E5"/>
    <w:rsid w:val="007D0B8C"/>
    <w:rsid w:val="007D0D9B"/>
    <w:rsid w:val="007D0EA9"/>
    <w:rsid w:val="007D166C"/>
    <w:rsid w:val="007D1BA6"/>
    <w:rsid w:val="007D1D38"/>
    <w:rsid w:val="007D21E8"/>
    <w:rsid w:val="007D24DB"/>
    <w:rsid w:val="007D279E"/>
    <w:rsid w:val="007D28CD"/>
    <w:rsid w:val="007D2F66"/>
    <w:rsid w:val="007D30A8"/>
    <w:rsid w:val="007D3632"/>
    <w:rsid w:val="007D391C"/>
    <w:rsid w:val="007D426C"/>
    <w:rsid w:val="007D5901"/>
    <w:rsid w:val="007D6812"/>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30F"/>
    <w:rsid w:val="007F0F20"/>
    <w:rsid w:val="007F1452"/>
    <w:rsid w:val="007F17E5"/>
    <w:rsid w:val="007F2D40"/>
    <w:rsid w:val="007F332D"/>
    <w:rsid w:val="007F3E11"/>
    <w:rsid w:val="007F3E85"/>
    <w:rsid w:val="007F4A2A"/>
    <w:rsid w:val="007F4DED"/>
    <w:rsid w:val="007F51E6"/>
    <w:rsid w:val="007F577A"/>
    <w:rsid w:val="007F62D0"/>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5EA2"/>
    <w:rsid w:val="0080605F"/>
    <w:rsid w:val="00806501"/>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692F"/>
    <w:rsid w:val="00816CBB"/>
    <w:rsid w:val="00817196"/>
    <w:rsid w:val="008173AE"/>
    <w:rsid w:val="00817C4B"/>
    <w:rsid w:val="00817C9A"/>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90F"/>
    <w:rsid w:val="00824A97"/>
    <w:rsid w:val="00824AB4"/>
    <w:rsid w:val="00824DAF"/>
    <w:rsid w:val="00824EEC"/>
    <w:rsid w:val="00825135"/>
    <w:rsid w:val="00825C42"/>
    <w:rsid w:val="00825C88"/>
    <w:rsid w:val="00825D25"/>
    <w:rsid w:val="00825D8E"/>
    <w:rsid w:val="00825F53"/>
    <w:rsid w:val="00826099"/>
    <w:rsid w:val="008266D1"/>
    <w:rsid w:val="00826871"/>
    <w:rsid w:val="00826E66"/>
    <w:rsid w:val="00827593"/>
    <w:rsid w:val="00827703"/>
    <w:rsid w:val="00827BC3"/>
    <w:rsid w:val="00827D6F"/>
    <w:rsid w:val="0083012B"/>
    <w:rsid w:val="008304E0"/>
    <w:rsid w:val="00830729"/>
    <w:rsid w:val="008307C8"/>
    <w:rsid w:val="008311ED"/>
    <w:rsid w:val="00831310"/>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546"/>
    <w:rsid w:val="00840B2A"/>
    <w:rsid w:val="00841467"/>
    <w:rsid w:val="00841712"/>
    <w:rsid w:val="00841BB2"/>
    <w:rsid w:val="008435AC"/>
    <w:rsid w:val="0084385C"/>
    <w:rsid w:val="00843DC1"/>
    <w:rsid w:val="008444E8"/>
    <w:rsid w:val="00844548"/>
    <w:rsid w:val="008449E4"/>
    <w:rsid w:val="00844BE4"/>
    <w:rsid w:val="00844E80"/>
    <w:rsid w:val="008459A0"/>
    <w:rsid w:val="00845E3F"/>
    <w:rsid w:val="0084607F"/>
    <w:rsid w:val="008466E8"/>
    <w:rsid w:val="00846B21"/>
    <w:rsid w:val="00846FE7"/>
    <w:rsid w:val="00847427"/>
    <w:rsid w:val="0084744E"/>
    <w:rsid w:val="00847CEB"/>
    <w:rsid w:val="0085034F"/>
    <w:rsid w:val="00850447"/>
    <w:rsid w:val="00850E97"/>
    <w:rsid w:val="00851034"/>
    <w:rsid w:val="00851A2D"/>
    <w:rsid w:val="00851C73"/>
    <w:rsid w:val="008522AB"/>
    <w:rsid w:val="008523F3"/>
    <w:rsid w:val="0085240F"/>
    <w:rsid w:val="0085256A"/>
    <w:rsid w:val="0085268C"/>
    <w:rsid w:val="00852FEB"/>
    <w:rsid w:val="00853BB6"/>
    <w:rsid w:val="00853CE3"/>
    <w:rsid w:val="008545A5"/>
    <w:rsid w:val="00854B97"/>
    <w:rsid w:val="00855574"/>
    <w:rsid w:val="008555B5"/>
    <w:rsid w:val="00856766"/>
    <w:rsid w:val="00856911"/>
    <w:rsid w:val="00857D67"/>
    <w:rsid w:val="00860171"/>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C01"/>
    <w:rsid w:val="0086621A"/>
    <w:rsid w:val="00866AA5"/>
    <w:rsid w:val="00866BAA"/>
    <w:rsid w:val="008677FD"/>
    <w:rsid w:val="0087008E"/>
    <w:rsid w:val="008702C4"/>
    <w:rsid w:val="008706D4"/>
    <w:rsid w:val="00870956"/>
    <w:rsid w:val="00870F8A"/>
    <w:rsid w:val="00871390"/>
    <w:rsid w:val="008719A4"/>
    <w:rsid w:val="00871D23"/>
    <w:rsid w:val="00872781"/>
    <w:rsid w:val="00872A40"/>
    <w:rsid w:val="00873151"/>
    <w:rsid w:val="00873243"/>
    <w:rsid w:val="00873598"/>
    <w:rsid w:val="0087374E"/>
    <w:rsid w:val="00873916"/>
    <w:rsid w:val="00873EC6"/>
    <w:rsid w:val="00874312"/>
    <w:rsid w:val="0087437C"/>
    <w:rsid w:val="008743F7"/>
    <w:rsid w:val="00874E1F"/>
    <w:rsid w:val="00874E2F"/>
    <w:rsid w:val="00875870"/>
    <w:rsid w:val="00875CD7"/>
    <w:rsid w:val="00876117"/>
    <w:rsid w:val="00876B4D"/>
    <w:rsid w:val="00877F18"/>
    <w:rsid w:val="0088057B"/>
    <w:rsid w:val="00880E51"/>
    <w:rsid w:val="00880F0B"/>
    <w:rsid w:val="008811AA"/>
    <w:rsid w:val="00881478"/>
    <w:rsid w:val="00881AAA"/>
    <w:rsid w:val="00881C4A"/>
    <w:rsid w:val="0088201C"/>
    <w:rsid w:val="0088257E"/>
    <w:rsid w:val="0088265B"/>
    <w:rsid w:val="00882CC9"/>
    <w:rsid w:val="00883633"/>
    <w:rsid w:val="00883CEF"/>
    <w:rsid w:val="008840DD"/>
    <w:rsid w:val="0088687F"/>
    <w:rsid w:val="00886EFF"/>
    <w:rsid w:val="00886F94"/>
    <w:rsid w:val="0088722C"/>
    <w:rsid w:val="008876B0"/>
    <w:rsid w:val="008909F9"/>
    <w:rsid w:val="00890D60"/>
    <w:rsid w:val="00891034"/>
    <w:rsid w:val="008916EC"/>
    <w:rsid w:val="00891796"/>
    <w:rsid w:val="00891C4B"/>
    <w:rsid w:val="00891D10"/>
    <w:rsid w:val="0089383B"/>
    <w:rsid w:val="008939C0"/>
    <w:rsid w:val="0089419C"/>
    <w:rsid w:val="008941E3"/>
    <w:rsid w:val="00894569"/>
    <w:rsid w:val="00894A88"/>
    <w:rsid w:val="00894C79"/>
    <w:rsid w:val="00894D66"/>
    <w:rsid w:val="00895333"/>
    <w:rsid w:val="00895386"/>
    <w:rsid w:val="008957C1"/>
    <w:rsid w:val="00895E19"/>
    <w:rsid w:val="0089632C"/>
    <w:rsid w:val="0089633E"/>
    <w:rsid w:val="008967AB"/>
    <w:rsid w:val="008969B5"/>
    <w:rsid w:val="008971B9"/>
    <w:rsid w:val="00897233"/>
    <w:rsid w:val="00897FDD"/>
    <w:rsid w:val="008A01AC"/>
    <w:rsid w:val="008A03F2"/>
    <w:rsid w:val="008A0443"/>
    <w:rsid w:val="008A0518"/>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5092"/>
    <w:rsid w:val="008A51A8"/>
    <w:rsid w:val="008A54C7"/>
    <w:rsid w:val="008A5707"/>
    <w:rsid w:val="008A617B"/>
    <w:rsid w:val="008A6961"/>
    <w:rsid w:val="008A7241"/>
    <w:rsid w:val="008A729F"/>
    <w:rsid w:val="008A74F8"/>
    <w:rsid w:val="008A77D8"/>
    <w:rsid w:val="008A7B2E"/>
    <w:rsid w:val="008B0076"/>
    <w:rsid w:val="008B0256"/>
    <w:rsid w:val="008B0391"/>
    <w:rsid w:val="008B0483"/>
    <w:rsid w:val="008B120C"/>
    <w:rsid w:val="008B15F2"/>
    <w:rsid w:val="008B1852"/>
    <w:rsid w:val="008B1997"/>
    <w:rsid w:val="008B1BA9"/>
    <w:rsid w:val="008B20B4"/>
    <w:rsid w:val="008B2580"/>
    <w:rsid w:val="008B27B8"/>
    <w:rsid w:val="008B361A"/>
    <w:rsid w:val="008B3741"/>
    <w:rsid w:val="008B3935"/>
    <w:rsid w:val="008B3B4F"/>
    <w:rsid w:val="008B3DA1"/>
    <w:rsid w:val="008B43AA"/>
    <w:rsid w:val="008B51A0"/>
    <w:rsid w:val="008B592A"/>
    <w:rsid w:val="008B5B47"/>
    <w:rsid w:val="008B60AD"/>
    <w:rsid w:val="008B60D0"/>
    <w:rsid w:val="008B60E2"/>
    <w:rsid w:val="008B6204"/>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30FA"/>
    <w:rsid w:val="008C3436"/>
    <w:rsid w:val="008C371B"/>
    <w:rsid w:val="008C3E81"/>
    <w:rsid w:val="008C3E9E"/>
    <w:rsid w:val="008C40A1"/>
    <w:rsid w:val="008C48FE"/>
    <w:rsid w:val="008C4958"/>
    <w:rsid w:val="008C4BAA"/>
    <w:rsid w:val="008C52B2"/>
    <w:rsid w:val="008C6AE8"/>
    <w:rsid w:val="008C6E91"/>
    <w:rsid w:val="008C7573"/>
    <w:rsid w:val="008C761F"/>
    <w:rsid w:val="008C777B"/>
    <w:rsid w:val="008C7A20"/>
    <w:rsid w:val="008D003A"/>
    <w:rsid w:val="008D009C"/>
    <w:rsid w:val="008D00A5"/>
    <w:rsid w:val="008D0177"/>
    <w:rsid w:val="008D0C3F"/>
    <w:rsid w:val="008D0FBE"/>
    <w:rsid w:val="008D1B6A"/>
    <w:rsid w:val="008D1D71"/>
    <w:rsid w:val="008D254F"/>
    <w:rsid w:val="008D27D6"/>
    <w:rsid w:val="008D2C53"/>
    <w:rsid w:val="008D32E1"/>
    <w:rsid w:val="008D34F1"/>
    <w:rsid w:val="008D39D8"/>
    <w:rsid w:val="008D4579"/>
    <w:rsid w:val="008D45CD"/>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1909"/>
    <w:rsid w:val="008E1D11"/>
    <w:rsid w:val="008E1D82"/>
    <w:rsid w:val="008E2090"/>
    <w:rsid w:val="008E21BD"/>
    <w:rsid w:val="008E23B2"/>
    <w:rsid w:val="008E2BB4"/>
    <w:rsid w:val="008E2E66"/>
    <w:rsid w:val="008E2EC9"/>
    <w:rsid w:val="008E308C"/>
    <w:rsid w:val="008E3624"/>
    <w:rsid w:val="008E4ECD"/>
    <w:rsid w:val="008E5E74"/>
    <w:rsid w:val="008E6004"/>
    <w:rsid w:val="008E60DE"/>
    <w:rsid w:val="008E6A4A"/>
    <w:rsid w:val="008E6AAF"/>
    <w:rsid w:val="008E79DD"/>
    <w:rsid w:val="008F068E"/>
    <w:rsid w:val="008F121F"/>
    <w:rsid w:val="008F1579"/>
    <w:rsid w:val="008F1EAB"/>
    <w:rsid w:val="008F2176"/>
    <w:rsid w:val="008F24C1"/>
    <w:rsid w:val="008F2C2D"/>
    <w:rsid w:val="008F2C32"/>
    <w:rsid w:val="008F33DC"/>
    <w:rsid w:val="008F3426"/>
    <w:rsid w:val="008F3757"/>
    <w:rsid w:val="008F3B73"/>
    <w:rsid w:val="008F3F12"/>
    <w:rsid w:val="008F4687"/>
    <w:rsid w:val="008F477F"/>
    <w:rsid w:val="008F4DE1"/>
    <w:rsid w:val="008F4E1D"/>
    <w:rsid w:val="008F50DD"/>
    <w:rsid w:val="008F533C"/>
    <w:rsid w:val="008F5C96"/>
    <w:rsid w:val="008F5E72"/>
    <w:rsid w:val="008F6473"/>
    <w:rsid w:val="008F6AE9"/>
    <w:rsid w:val="00900129"/>
    <w:rsid w:val="0090055C"/>
    <w:rsid w:val="0090078E"/>
    <w:rsid w:val="00900F65"/>
    <w:rsid w:val="00901584"/>
    <w:rsid w:val="009015DE"/>
    <w:rsid w:val="00901E04"/>
    <w:rsid w:val="0090214C"/>
    <w:rsid w:val="00902350"/>
    <w:rsid w:val="0090250A"/>
    <w:rsid w:val="009026B1"/>
    <w:rsid w:val="00902725"/>
    <w:rsid w:val="009028BD"/>
    <w:rsid w:val="009029AF"/>
    <w:rsid w:val="00902A4E"/>
    <w:rsid w:val="00902F6D"/>
    <w:rsid w:val="009030AB"/>
    <w:rsid w:val="009030AE"/>
    <w:rsid w:val="0090336B"/>
    <w:rsid w:val="00904A32"/>
    <w:rsid w:val="009050A0"/>
    <w:rsid w:val="009053AA"/>
    <w:rsid w:val="00905485"/>
    <w:rsid w:val="009055EE"/>
    <w:rsid w:val="0090576C"/>
    <w:rsid w:val="00905CE1"/>
    <w:rsid w:val="00905E37"/>
    <w:rsid w:val="009063F8"/>
    <w:rsid w:val="00906440"/>
    <w:rsid w:val="0090656C"/>
    <w:rsid w:val="00906939"/>
    <w:rsid w:val="00907D7D"/>
    <w:rsid w:val="0091071C"/>
    <w:rsid w:val="00910A35"/>
    <w:rsid w:val="00910B7D"/>
    <w:rsid w:val="00910EA1"/>
    <w:rsid w:val="00911224"/>
    <w:rsid w:val="00911267"/>
    <w:rsid w:val="00911DFB"/>
    <w:rsid w:val="00911F2B"/>
    <w:rsid w:val="009122E7"/>
    <w:rsid w:val="0091257E"/>
    <w:rsid w:val="009128CD"/>
    <w:rsid w:val="00912DD0"/>
    <w:rsid w:val="009134F0"/>
    <w:rsid w:val="00913769"/>
    <w:rsid w:val="0091376D"/>
    <w:rsid w:val="009139D9"/>
    <w:rsid w:val="00914410"/>
    <w:rsid w:val="00914AD8"/>
    <w:rsid w:val="009150C4"/>
    <w:rsid w:val="00915626"/>
    <w:rsid w:val="00915B30"/>
    <w:rsid w:val="00916079"/>
    <w:rsid w:val="009166C5"/>
    <w:rsid w:val="00916907"/>
    <w:rsid w:val="00917230"/>
    <w:rsid w:val="00917531"/>
    <w:rsid w:val="00917CE9"/>
    <w:rsid w:val="00920B05"/>
    <w:rsid w:val="00920BF2"/>
    <w:rsid w:val="00921B68"/>
    <w:rsid w:val="00922010"/>
    <w:rsid w:val="00922157"/>
    <w:rsid w:val="009224AA"/>
    <w:rsid w:val="00922CEC"/>
    <w:rsid w:val="009233D3"/>
    <w:rsid w:val="00923471"/>
    <w:rsid w:val="00923A50"/>
    <w:rsid w:val="00923E0C"/>
    <w:rsid w:val="00924C03"/>
    <w:rsid w:val="00925520"/>
    <w:rsid w:val="009258D5"/>
    <w:rsid w:val="00925CCB"/>
    <w:rsid w:val="009269CF"/>
    <w:rsid w:val="00926C93"/>
    <w:rsid w:val="00927128"/>
    <w:rsid w:val="0092792B"/>
    <w:rsid w:val="00927D50"/>
    <w:rsid w:val="00930178"/>
    <w:rsid w:val="0093094E"/>
    <w:rsid w:val="00931189"/>
    <w:rsid w:val="009311C4"/>
    <w:rsid w:val="00931BD9"/>
    <w:rsid w:val="00932375"/>
    <w:rsid w:val="009329A2"/>
    <w:rsid w:val="00932F6D"/>
    <w:rsid w:val="00933313"/>
    <w:rsid w:val="00933D0A"/>
    <w:rsid w:val="009340B6"/>
    <w:rsid w:val="009342D1"/>
    <w:rsid w:val="0093433F"/>
    <w:rsid w:val="0093498B"/>
    <w:rsid w:val="00934B99"/>
    <w:rsid w:val="00934C31"/>
    <w:rsid w:val="00934E26"/>
    <w:rsid w:val="00935054"/>
    <w:rsid w:val="009364A6"/>
    <w:rsid w:val="009368F3"/>
    <w:rsid w:val="00936939"/>
    <w:rsid w:val="009371A3"/>
    <w:rsid w:val="0094001F"/>
    <w:rsid w:val="009407C6"/>
    <w:rsid w:val="0094099A"/>
    <w:rsid w:val="00940D4E"/>
    <w:rsid w:val="00940E1C"/>
    <w:rsid w:val="00941636"/>
    <w:rsid w:val="00941DA5"/>
    <w:rsid w:val="00942901"/>
    <w:rsid w:val="00942FF6"/>
    <w:rsid w:val="0094316A"/>
    <w:rsid w:val="00943742"/>
    <w:rsid w:val="00943918"/>
    <w:rsid w:val="00943E84"/>
    <w:rsid w:val="009448FA"/>
    <w:rsid w:val="00945234"/>
    <w:rsid w:val="00945304"/>
    <w:rsid w:val="00945394"/>
    <w:rsid w:val="009454A5"/>
    <w:rsid w:val="009456A4"/>
    <w:rsid w:val="00945C05"/>
    <w:rsid w:val="00946146"/>
    <w:rsid w:val="00946409"/>
    <w:rsid w:val="00946945"/>
    <w:rsid w:val="00946AE5"/>
    <w:rsid w:val="009473C6"/>
    <w:rsid w:val="009475B1"/>
    <w:rsid w:val="00947713"/>
    <w:rsid w:val="00947A8A"/>
    <w:rsid w:val="00947C28"/>
    <w:rsid w:val="00950006"/>
    <w:rsid w:val="0095037B"/>
    <w:rsid w:val="009504D6"/>
    <w:rsid w:val="0095070C"/>
    <w:rsid w:val="00950910"/>
    <w:rsid w:val="009509E6"/>
    <w:rsid w:val="00950DE7"/>
    <w:rsid w:val="00951BE8"/>
    <w:rsid w:val="00951CE2"/>
    <w:rsid w:val="0095211C"/>
    <w:rsid w:val="00952677"/>
    <w:rsid w:val="00952ADC"/>
    <w:rsid w:val="00953635"/>
    <w:rsid w:val="00953920"/>
    <w:rsid w:val="00953D47"/>
    <w:rsid w:val="0095487C"/>
    <w:rsid w:val="009548C1"/>
    <w:rsid w:val="00954C33"/>
    <w:rsid w:val="009557E3"/>
    <w:rsid w:val="00955C54"/>
    <w:rsid w:val="00955D01"/>
    <w:rsid w:val="00955EEE"/>
    <w:rsid w:val="0095660B"/>
    <w:rsid w:val="00956681"/>
    <w:rsid w:val="009567BC"/>
    <w:rsid w:val="0095681E"/>
    <w:rsid w:val="00956822"/>
    <w:rsid w:val="009572D4"/>
    <w:rsid w:val="00957986"/>
    <w:rsid w:val="009611DC"/>
    <w:rsid w:val="00961921"/>
    <w:rsid w:val="0096255C"/>
    <w:rsid w:val="00962AF5"/>
    <w:rsid w:val="0096353D"/>
    <w:rsid w:val="009636C8"/>
    <w:rsid w:val="00963C99"/>
    <w:rsid w:val="00963D94"/>
    <w:rsid w:val="00963F6D"/>
    <w:rsid w:val="00963FF6"/>
    <w:rsid w:val="0096430A"/>
    <w:rsid w:val="0096460C"/>
    <w:rsid w:val="00964A8D"/>
    <w:rsid w:val="00964AE9"/>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949"/>
    <w:rsid w:val="00976E97"/>
    <w:rsid w:val="009772F9"/>
    <w:rsid w:val="0097741F"/>
    <w:rsid w:val="00977AFB"/>
    <w:rsid w:val="00977FB6"/>
    <w:rsid w:val="0098027A"/>
    <w:rsid w:val="00980332"/>
    <w:rsid w:val="00980477"/>
    <w:rsid w:val="0098122C"/>
    <w:rsid w:val="0098139F"/>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F0C"/>
    <w:rsid w:val="00994CB8"/>
    <w:rsid w:val="00994CEE"/>
    <w:rsid w:val="00994DCA"/>
    <w:rsid w:val="00995B95"/>
    <w:rsid w:val="009960EC"/>
    <w:rsid w:val="00996501"/>
    <w:rsid w:val="00996FFE"/>
    <w:rsid w:val="009970DD"/>
    <w:rsid w:val="009A0104"/>
    <w:rsid w:val="009A0FBA"/>
    <w:rsid w:val="009A1072"/>
    <w:rsid w:val="009A109D"/>
    <w:rsid w:val="009A10B6"/>
    <w:rsid w:val="009A1601"/>
    <w:rsid w:val="009A20C3"/>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CBA"/>
    <w:rsid w:val="009A5D92"/>
    <w:rsid w:val="009A5DFF"/>
    <w:rsid w:val="009A63C3"/>
    <w:rsid w:val="009A74A9"/>
    <w:rsid w:val="009A74C7"/>
    <w:rsid w:val="009A75C7"/>
    <w:rsid w:val="009A78E9"/>
    <w:rsid w:val="009A7E94"/>
    <w:rsid w:val="009A7E9A"/>
    <w:rsid w:val="009B094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D3E"/>
    <w:rsid w:val="009B6F77"/>
    <w:rsid w:val="009B7DA4"/>
    <w:rsid w:val="009B7E87"/>
    <w:rsid w:val="009B7F10"/>
    <w:rsid w:val="009B7F2D"/>
    <w:rsid w:val="009C0169"/>
    <w:rsid w:val="009C039E"/>
    <w:rsid w:val="009C0584"/>
    <w:rsid w:val="009C07F9"/>
    <w:rsid w:val="009C091A"/>
    <w:rsid w:val="009C13BA"/>
    <w:rsid w:val="009C143A"/>
    <w:rsid w:val="009C1544"/>
    <w:rsid w:val="009C1981"/>
    <w:rsid w:val="009C1B44"/>
    <w:rsid w:val="009C23FC"/>
    <w:rsid w:val="009C24F1"/>
    <w:rsid w:val="009C3221"/>
    <w:rsid w:val="009C3255"/>
    <w:rsid w:val="009C403E"/>
    <w:rsid w:val="009C4356"/>
    <w:rsid w:val="009C53FE"/>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E97"/>
    <w:rsid w:val="009D210B"/>
    <w:rsid w:val="009D2CC1"/>
    <w:rsid w:val="009D3210"/>
    <w:rsid w:val="009D360B"/>
    <w:rsid w:val="009D43E2"/>
    <w:rsid w:val="009D4611"/>
    <w:rsid w:val="009D4C5C"/>
    <w:rsid w:val="009D4CB0"/>
    <w:rsid w:val="009D4FF0"/>
    <w:rsid w:val="009D5023"/>
    <w:rsid w:val="009D5154"/>
    <w:rsid w:val="009D5163"/>
    <w:rsid w:val="009D553F"/>
    <w:rsid w:val="009D68F4"/>
    <w:rsid w:val="009D6DD1"/>
    <w:rsid w:val="009D703C"/>
    <w:rsid w:val="009D713B"/>
    <w:rsid w:val="009D7175"/>
    <w:rsid w:val="009D718F"/>
    <w:rsid w:val="009D7C4B"/>
    <w:rsid w:val="009E030D"/>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7A3"/>
    <w:rsid w:val="009E48E5"/>
    <w:rsid w:val="009E4916"/>
    <w:rsid w:val="009E4E2C"/>
    <w:rsid w:val="009E6069"/>
    <w:rsid w:val="009E6420"/>
    <w:rsid w:val="009E6CF5"/>
    <w:rsid w:val="009F08C6"/>
    <w:rsid w:val="009F08F3"/>
    <w:rsid w:val="009F0DED"/>
    <w:rsid w:val="009F17A5"/>
    <w:rsid w:val="009F1C8F"/>
    <w:rsid w:val="009F2AD9"/>
    <w:rsid w:val="009F2D9D"/>
    <w:rsid w:val="009F344F"/>
    <w:rsid w:val="009F3B84"/>
    <w:rsid w:val="009F3DCF"/>
    <w:rsid w:val="009F3F94"/>
    <w:rsid w:val="009F4188"/>
    <w:rsid w:val="009F455A"/>
    <w:rsid w:val="009F483B"/>
    <w:rsid w:val="009F5B97"/>
    <w:rsid w:val="009F5DF0"/>
    <w:rsid w:val="009F5F68"/>
    <w:rsid w:val="009F6152"/>
    <w:rsid w:val="009F6DCC"/>
    <w:rsid w:val="009F6F1E"/>
    <w:rsid w:val="009F7491"/>
    <w:rsid w:val="009F7793"/>
    <w:rsid w:val="009F7C50"/>
    <w:rsid w:val="00A01147"/>
    <w:rsid w:val="00A0144A"/>
    <w:rsid w:val="00A01C41"/>
    <w:rsid w:val="00A01D32"/>
    <w:rsid w:val="00A0226E"/>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60A3"/>
    <w:rsid w:val="00A06CDE"/>
    <w:rsid w:val="00A070AB"/>
    <w:rsid w:val="00A106CD"/>
    <w:rsid w:val="00A10A34"/>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1005"/>
    <w:rsid w:val="00A210AA"/>
    <w:rsid w:val="00A211D8"/>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9BA"/>
    <w:rsid w:val="00A26DAA"/>
    <w:rsid w:val="00A26DCF"/>
    <w:rsid w:val="00A27744"/>
    <w:rsid w:val="00A27785"/>
    <w:rsid w:val="00A27980"/>
    <w:rsid w:val="00A30187"/>
    <w:rsid w:val="00A311C0"/>
    <w:rsid w:val="00A31BBB"/>
    <w:rsid w:val="00A31CB0"/>
    <w:rsid w:val="00A32744"/>
    <w:rsid w:val="00A32C5E"/>
    <w:rsid w:val="00A33B5E"/>
    <w:rsid w:val="00A33DDC"/>
    <w:rsid w:val="00A33FAE"/>
    <w:rsid w:val="00A3448A"/>
    <w:rsid w:val="00A3472E"/>
    <w:rsid w:val="00A34FB0"/>
    <w:rsid w:val="00A35081"/>
    <w:rsid w:val="00A35211"/>
    <w:rsid w:val="00A35ADF"/>
    <w:rsid w:val="00A3610C"/>
    <w:rsid w:val="00A36297"/>
    <w:rsid w:val="00A3638A"/>
    <w:rsid w:val="00A371E5"/>
    <w:rsid w:val="00A372FE"/>
    <w:rsid w:val="00A3739C"/>
    <w:rsid w:val="00A379F9"/>
    <w:rsid w:val="00A37B61"/>
    <w:rsid w:val="00A40203"/>
    <w:rsid w:val="00A40768"/>
    <w:rsid w:val="00A408CE"/>
    <w:rsid w:val="00A41228"/>
    <w:rsid w:val="00A41CE9"/>
    <w:rsid w:val="00A41DC0"/>
    <w:rsid w:val="00A41E2B"/>
    <w:rsid w:val="00A41F27"/>
    <w:rsid w:val="00A42875"/>
    <w:rsid w:val="00A42B48"/>
    <w:rsid w:val="00A43101"/>
    <w:rsid w:val="00A43981"/>
    <w:rsid w:val="00A44071"/>
    <w:rsid w:val="00A4467B"/>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AB3"/>
    <w:rsid w:val="00A47CA4"/>
    <w:rsid w:val="00A500CC"/>
    <w:rsid w:val="00A51B3A"/>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80F"/>
    <w:rsid w:val="00A5715E"/>
    <w:rsid w:val="00A57B48"/>
    <w:rsid w:val="00A60067"/>
    <w:rsid w:val="00A60101"/>
    <w:rsid w:val="00A601C4"/>
    <w:rsid w:val="00A60745"/>
    <w:rsid w:val="00A6097E"/>
    <w:rsid w:val="00A60F1F"/>
    <w:rsid w:val="00A60FAD"/>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D9C"/>
    <w:rsid w:val="00A64E73"/>
    <w:rsid w:val="00A64FC0"/>
    <w:rsid w:val="00A652B8"/>
    <w:rsid w:val="00A653D7"/>
    <w:rsid w:val="00A657D7"/>
    <w:rsid w:val="00A65A90"/>
    <w:rsid w:val="00A660AC"/>
    <w:rsid w:val="00A67328"/>
    <w:rsid w:val="00A67E6C"/>
    <w:rsid w:val="00A7013A"/>
    <w:rsid w:val="00A71114"/>
    <w:rsid w:val="00A713EA"/>
    <w:rsid w:val="00A71AAC"/>
    <w:rsid w:val="00A71B99"/>
    <w:rsid w:val="00A71F78"/>
    <w:rsid w:val="00A7200C"/>
    <w:rsid w:val="00A720F6"/>
    <w:rsid w:val="00A7212A"/>
    <w:rsid w:val="00A728F0"/>
    <w:rsid w:val="00A72AE6"/>
    <w:rsid w:val="00A72F28"/>
    <w:rsid w:val="00A737CF"/>
    <w:rsid w:val="00A738CF"/>
    <w:rsid w:val="00A739D0"/>
    <w:rsid w:val="00A74A0B"/>
    <w:rsid w:val="00A74ABB"/>
    <w:rsid w:val="00A74F39"/>
    <w:rsid w:val="00A74FFD"/>
    <w:rsid w:val="00A75372"/>
    <w:rsid w:val="00A75997"/>
    <w:rsid w:val="00A761D4"/>
    <w:rsid w:val="00A77072"/>
    <w:rsid w:val="00A77118"/>
    <w:rsid w:val="00A77A56"/>
    <w:rsid w:val="00A77A66"/>
    <w:rsid w:val="00A77BC2"/>
    <w:rsid w:val="00A77DF6"/>
    <w:rsid w:val="00A77EC4"/>
    <w:rsid w:val="00A8015F"/>
    <w:rsid w:val="00A80A2D"/>
    <w:rsid w:val="00A80D59"/>
    <w:rsid w:val="00A80ED5"/>
    <w:rsid w:val="00A81003"/>
    <w:rsid w:val="00A81464"/>
    <w:rsid w:val="00A81496"/>
    <w:rsid w:val="00A81748"/>
    <w:rsid w:val="00A820CC"/>
    <w:rsid w:val="00A82856"/>
    <w:rsid w:val="00A82DFF"/>
    <w:rsid w:val="00A835D2"/>
    <w:rsid w:val="00A83832"/>
    <w:rsid w:val="00A83AB7"/>
    <w:rsid w:val="00A83BF6"/>
    <w:rsid w:val="00A83C23"/>
    <w:rsid w:val="00A84020"/>
    <w:rsid w:val="00A84428"/>
    <w:rsid w:val="00A844AF"/>
    <w:rsid w:val="00A84963"/>
    <w:rsid w:val="00A84EF1"/>
    <w:rsid w:val="00A85257"/>
    <w:rsid w:val="00A85366"/>
    <w:rsid w:val="00A854F1"/>
    <w:rsid w:val="00A8575D"/>
    <w:rsid w:val="00A86154"/>
    <w:rsid w:val="00A8695C"/>
    <w:rsid w:val="00A87051"/>
    <w:rsid w:val="00A8750F"/>
    <w:rsid w:val="00A87AD4"/>
    <w:rsid w:val="00A90072"/>
    <w:rsid w:val="00A90952"/>
    <w:rsid w:val="00A90DFE"/>
    <w:rsid w:val="00A910D3"/>
    <w:rsid w:val="00A91C22"/>
    <w:rsid w:val="00A92807"/>
    <w:rsid w:val="00A92879"/>
    <w:rsid w:val="00A929C5"/>
    <w:rsid w:val="00A92E36"/>
    <w:rsid w:val="00A94266"/>
    <w:rsid w:val="00A9442A"/>
    <w:rsid w:val="00A94498"/>
    <w:rsid w:val="00A948D1"/>
    <w:rsid w:val="00A95A23"/>
    <w:rsid w:val="00A96A2C"/>
    <w:rsid w:val="00A96B79"/>
    <w:rsid w:val="00A96E0B"/>
    <w:rsid w:val="00A96E0F"/>
    <w:rsid w:val="00A96E18"/>
    <w:rsid w:val="00A975A8"/>
    <w:rsid w:val="00A977FE"/>
    <w:rsid w:val="00A979D6"/>
    <w:rsid w:val="00AA016F"/>
    <w:rsid w:val="00AA162F"/>
    <w:rsid w:val="00AA1847"/>
    <w:rsid w:val="00AA1C17"/>
    <w:rsid w:val="00AA1EAC"/>
    <w:rsid w:val="00AA1ED6"/>
    <w:rsid w:val="00AA27C8"/>
    <w:rsid w:val="00AA3168"/>
    <w:rsid w:val="00AA3464"/>
    <w:rsid w:val="00AA3562"/>
    <w:rsid w:val="00AA3A4B"/>
    <w:rsid w:val="00AA3A91"/>
    <w:rsid w:val="00AA3CF6"/>
    <w:rsid w:val="00AA3FEA"/>
    <w:rsid w:val="00AA49DE"/>
    <w:rsid w:val="00AA4C19"/>
    <w:rsid w:val="00AA51D6"/>
    <w:rsid w:val="00AA522F"/>
    <w:rsid w:val="00AA56C3"/>
    <w:rsid w:val="00AA59C4"/>
    <w:rsid w:val="00AA5CFD"/>
    <w:rsid w:val="00AA5E6E"/>
    <w:rsid w:val="00AA6427"/>
    <w:rsid w:val="00AA6BA1"/>
    <w:rsid w:val="00AA6D0B"/>
    <w:rsid w:val="00AA6FB3"/>
    <w:rsid w:val="00AA7276"/>
    <w:rsid w:val="00AA7934"/>
    <w:rsid w:val="00AA7A61"/>
    <w:rsid w:val="00AA7ACE"/>
    <w:rsid w:val="00AB010F"/>
    <w:rsid w:val="00AB020A"/>
    <w:rsid w:val="00AB04C7"/>
    <w:rsid w:val="00AB0BC8"/>
    <w:rsid w:val="00AB0C32"/>
    <w:rsid w:val="00AB0DE7"/>
    <w:rsid w:val="00AB0F27"/>
    <w:rsid w:val="00AB10B6"/>
    <w:rsid w:val="00AB11CA"/>
    <w:rsid w:val="00AB14D9"/>
    <w:rsid w:val="00AB166E"/>
    <w:rsid w:val="00AB1B36"/>
    <w:rsid w:val="00AB1D14"/>
    <w:rsid w:val="00AB1FA4"/>
    <w:rsid w:val="00AB2315"/>
    <w:rsid w:val="00AB33A0"/>
    <w:rsid w:val="00AB33DC"/>
    <w:rsid w:val="00AB3C71"/>
    <w:rsid w:val="00AB3D4E"/>
    <w:rsid w:val="00AB3F51"/>
    <w:rsid w:val="00AB455B"/>
    <w:rsid w:val="00AB4615"/>
    <w:rsid w:val="00AB49B9"/>
    <w:rsid w:val="00AB4AB8"/>
    <w:rsid w:val="00AB56EE"/>
    <w:rsid w:val="00AB655E"/>
    <w:rsid w:val="00AB7250"/>
    <w:rsid w:val="00AB76F7"/>
    <w:rsid w:val="00AB77EC"/>
    <w:rsid w:val="00AB796B"/>
    <w:rsid w:val="00AB7B87"/>
    <w:rsid w:val="00AC007F"/>
    <w:rsid w:val="00AC02B9"/>
    <w:rsid w:val="00AC0941"/>
    <w:rsid w:val="00AC0A2C"/>
    <w:rsid w:val="00AC0C93"/>
    <w:rsid w:val="00AC0FBC"/>
    <w:rsid w:val="00AC18AC"/>
    <w:rsid w:val="00AC1CA4"/>
    <w:rsid w:val="00AC25EC"/>
    <w:rsid w:val="00AC27E6"/>
    <w:rsid w:val="00AC2ECD"/>
    <w:rsid w:val="00AC3119"/>
    <w:rsid w:val="00AC44AB"/>
    <w:rsid w:val="00AC4607"/>
    <w:rsid w:val="00AC49FB"/>
    <w:rsid w:val="00AC51A7"/>
    <w:rsid w:val="00AC52E3"/>
    <w:rsid w:val="00AC5670"/>
    <w:rsid w:val="00AC5A10"/>
    <w:rsid w:val="00AC6829"/>
    <w:rsid w:val="00AC68EF"/>
    <w:rsid w:val="00AC697A"/>
    <w:rsid w:val="00AC6E96"/>
    <w:rsid w:val="00AC725C"/>
    <w:rsid w:val="00AC730A"/>
    <w:rsid w:val="00AD01A5"/>
    <w:rsid w:val="00AD02CF"/>
    <w:rsid w:val="00AD034B"/>
    <w:rsid w:val="00AD0AA3"/>
    <w:rsid w:val="00AD141D"/>
    <w:rsid w:val="00AD14DC"/>
    <w:rsid w:val="00AD1A52"/>
    <w:rsid w:val="00AD2678"/>
    <w:rsid w:val="00AD2AC2"/>
    <w:rsid w:val="00AD3165"/>
    <w:rsid w:val="00AD3244"/>
    <w:rsid w:val="00AD32E6"/>
    <w:rsid w:val="00AD3F94"/>
    <w:rsid w:val="00AD4973"/>
    <w:rsid w:val="00AD4A5A"/>
    <w:rsid w:val="00AD5CC2"/>
    <w:rsid w:val="00AD5FB5"/>
    <w:rsid w:val="00AD5FC9"/>
    <w:rsid w:val="00AD6173"/>
    <w:rsid w:val="00AD62EA"/>
    <w:rsid w:val="00AD6327"/>
    <w:rsid w:val="00AD64FC"/>
    <w:rsid w:val="00AD674B"/>
    <w:rsid w:val="00AD6B3D"/>
    <w:rsid w:val="00AD717B"/>
    <w:rsid w:val="00AD744C"/>
    <w:rsid w:val="00AD7635"/>
    <w:rsid w:val="00AD7AB2"/>
    <w:rsid w:val="00AD7C29"/>
    <w:rsid w:val="00AD7E33"/>
    <w:rsid w:val="00AD7F26"/>
    <w:rsid w:val="00AE0D2F"/>
    <w:rsid w:val="00AE10C3"/>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770"/>
    <w:rsid w:val="00AE4795"/>
    <w:rsid w:val="00AE4DBA"/>
    <w:rsid w:val="00AE4F07"/>
    <w:rsid w:val="00AE53D5"/>
    <w:rsid w:val="00AE56E1"/>
    <w:rsid w:val="00AE5AD7"/>
    <w:rsid w:val="00AE5C46"/>
    <w:rsid w:val="00AE64E4"/>
    <w:rsid w:val="00AE70D5"/>
    <w:rsid w:val="00AE72F9"/>
    <w:rsid w:val="00AE7879"/>
    <w:rsid w:val="00AE7D2C"/>
    <w:rsid w:val="00AF039F"/>
    <w:rsid w:val="00AF03BD"/>
    <w:rsid w:val="00AF0A0C"/>
    <w:rsid w:val="00AF0F66"/>
    <w:rsid w:val="00AF10BC"/>
    <w:rsid w:val="00AF1C5D"/>
    <w:rsid w:val="00AF1E18"/>
    <w:rsid w:val="00AF1F8C"/>
    <w:rsid w:val="00AF239E"/>
    <w:rsid w:val="00AF24E8"/>
    <w:rsid w:val="00AF3072"/>
    <w:rsid w:val="00AF316D"/>
    <w:rsid w:val="00AF332E"/>
    <w:rsid w:val="00AF33B7"/>
    <w:rsid w:val="00AF346C"/>
    <w:rsid w:val="00AF34CE"/>
    <w:rsid w:val="00AF3548"/>
    <w:rsid w:val="00AF35BB"/>
    <w:rsid w:val="00AF407C"/>
    <w:rsid w:val="00AF4191"/>
    <w:rsid w:val="00AF42D7"/>
    <w:rsid w:val="00AF443B"/>
    <w:rsid w:val="00AF4AE6"/>
    <w:rsid w:val="00AF4CEE"/>
    <w:rsid w:val="00AF51D1"/>
    <w:rsid w:val="00AF5ABA"/>
    <w:rsid w:val="00AF6264"/>
    <w:rsid w:val="00AF630E"/>
    <w:rsid w:val="00AF6383"/>
    <w:rsid w:val="00AF67A3"/>
    <w:rsid w:val="00AF7725"/>
    <w:rsid w:val="00AF77DE"/>
    <w:rsid w:val="00AF7A19"/>
    <w:rsid w:val="00AF7A3E"/>
    <w:rsid w:val="00AF7F3A"/>
    <w:rsid w:val="00B00588"/>
    <w:rsid w:val="00B00678"/>
    <w:rsid w:val="00B006FE"/>
    <w:rsid w:val="00B007CB"/>
    <w:rsid w:val="00B008E0"/>
    <w:rsid w:val="00B0099F"/>
    <w:rsid w:val="00B01574"/>
    <w:rsid w:val="00B019C1"/>
    <w:rsid w:val="00B01AE6"/>
    <w:rsid w:val="00B01F67"/>
    <w:rsid w:val="00B02593"/>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169"/>
    <w:rsid w:val="00B07A03"/>
    <w:rsid w:val="00B07A8A"/>
    <w:rsid w:val="00B07D18"/>
    <w:rsid w:val="00B10311"/>
    <w:rsid w:val="00B10B08"/>
    <w:rsid w:val="00B10E11"/>
    <w:rsid w:val="00B10FA6"/>
    <w:rsid w:val="00B113FB"/>
    <w:rsid w:val="00B1198D"/>
    <w:rsid w:val="00B12A34"/>
    <w:rsid w:val="00B1307C"/>
    <w:rsid w:val="00B1418C"/>
    <w:rsid w:val="00B15115"/>
    <w:rsid w:val="00B151A5"/>
    <w:rsid w:val="00B157F9"/>
    <w:rsid w:val="00B15D5D"/>
    <w:rsid w:val="00B166C7"/>
    <w:rsid w:val="00B168FB"/>
    <w:rsid w:val="00B16DD4"/>
    <w:rsid w:val="00B17A64"/>
    <w:rsid w:val="00B17B2F"/>
    <w:rsid w:val="00B17E6A"/>
    <w:rsid w:val="00B201E8"/>
    <w:rsid w:val="00B20256"/>
    <w:rsid w:val="00B206BC"/>
    <w:rsid w:val="00B20940"/>
    <w:rsid w:val="00B20D09"/>
    <w:rsid w:val="00B21620"/>
    <w:rsid w:val="00B21F65"/>
    <w:rsid w:val="00B22311"/>
    <w:rsid w:val="00B225C0"/>
    <w:rsid w:val="00B227C2"/>
    <w:rsid w:val="00B22BC3"/>
    <w:rsid w:val="00B22DA1"/>
    <w:rsid w:val="00B22FA9"/>
    <w:rsid w:val="00B23308"/>
    <w:rsid w:val="00B24383"/>
    <w:rsid w:val="00B2490B"/>
    <w:rsid w:val="00B25315"/>
    <w:rsid w:val="00B25854"/>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D23"/>
    <w:rsid w:val="00B32F30"/>
    <w:rsid w:val="00B3314A"/>
    <w:rsid w:val="00B33541"/>
    <w:rsid w:val="00B3360C"/>
    <w:rsid w:val="00B33626"/>
    <w:rsid w:val="00B336EC"/>
    <w:rsid w:val="00B34D9B"/>
    <w:rsid w:val="00B354AE"/>
    <w:rsid w:val="00B355C2"/>
    <w:rsid w:val="00B3587D"/>
    <w:rsid w:val="00B367A3"/>
    <w:rsid w:val="00B36957"/>
    <w:rsid w:val="00B36CAD"/>
    <w:rsid w:val="00B3703F"/>
    <w:rsid w:val="00B37063"/>
    <w:rsid w:val="00B37236"/>
    <w:rsid w:val="00B372AA"/>
    <w:rsid w:val="00B372FB"/>
    <w:rsid w:val="00B37A52"/>
    <w:rsid w:val="00B37BA3"/>
    <w:rsid w:val="00B37EC7"/>
    <w:rsid w:val="00B4035C"/>
    <w:rsid w:val="00B40445"/>
    <w:rsid w:val="00B40628"/>
    <w:rsid w:val="00B4068F"/>
    <w:rsid w:val="00B409E0"/>
    <w:rsid w:val="00B40BAC"/>
    <w:rsid w:val="00B40CBC"/>
    <w:rsid w:val="00B4134C"/>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94D"/>
    <w:rsid w:val="00B45410"/>
    <w:rsid w:val="00B45A52"/>
    <w:rsid w:val="00B46175"/>
    <w:rsid w:val="00B461AF"/>
    <w:rsid w:val="00B46FD3"/>
    <w:rsid w:val="00B47390"/>
    <w:rsid w:val="00B47AA0"/>
    <w:rsid w:val="00B47E5D"/>
    <w:rsid w:val="00B508FD"/>
    <w:rsid w:val="00B5195B"/>
    <w:rsid w:val="00B52053"/>
    <w:rsid w:val="00B521D8"/>
    <w:rsid w:val="00B52263"/>
    <w:rsid w:val="00B5251E"/>
    <w:rsid w:val="00B52711"/>
    <w:rsid w:val="00B52C74"/>
    <w:rsid w:val="00B53060"/>
    <w:rsid w:val="00B533F6"/>
    <w:rsid w:val="00B538D9"/>
    <w:rsid w:val="00B540AA"/>
    <w:rsid w:val="00B54396"/>
    <w:rsid w:val="00B5480E"/>
    <w:rsid w:val="00B548B7"/>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163D"/>
    <w:rsid w:val="00B61D8D"/>
    <w:rsid w:val="00B635F3"/>
    <w:rsid w:val="00B63AC5"/>
    <w:rsid w:val="00B63F85"/>
    <w:rsid w:val="00B644CE"/>
    <w:rsid w:val="00B664C7"/>
    <w:rsid w:val="00B66A32"/>
    <w:rsid w:val="00B66D74"/>
    <w:rsid w:val="00B66F35"/>
    <w:rsid w:val="00B67111"/>
    <w:rsid w:val="00B6722F"/>
    <w:rsid w:val="00B67AD1"/>
    <w:rsid w:val="00B67EF3"/>
    <w:rsid w:val="00B705CF"/>
    <w:rsid w:val="00B705DD"/>
    <w:rsid w:val="00B7060C"/>
    <w:rsid w:val="00B70EDD"/>
    <w:rsid w:val="00B7142F"/>
    <w:rsid w:val="00B71A28"/>
    <w:rsid w:val="00B7240D"/>
    <w:rsid w:val="00B73427"/>
    <w:rsid w:val="00B739F6"/>
    <w:rsid w:val="00B750BC"/>
    <w:rsid w:val="00B75B5E"/>
    <w:rsid w:val="00B76015"/>
    <w:rsid w:val="00B7620E"/>
    <w:rsid w:val="00B76C36"/>
    <w:rsid w:val="00B77112"/>
    <w:rsid w:val="00B80433"/>
    <w:rsid w:val="00B8088A"/>
    <w:rsid w:val="00B80B13"/>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347"/>
    <w:rsid w:val="00B925AB"/>
    <w:rsid w:val="00B9343C"/>
    <w:rsid w:val="00B939DB"/>
    <w:rsid w:val="00B93B59"/>
    <w:rsid w:val="00B9403D"/>
    <w:rsid w:val="00B9406A"/>
    <w:rsid w:val="00B94C23"/>
    <w:rsid w:val="00B9539D"/>
    <w:rsid w:val="00B95591"/>
    <w:rsid w:val="00B95827"/>
    <w:rsid w:val="00B95ACA"/>
    <w:rsid w:val="00B95B43"/>
    <w:rsid w:val="00B96560"/>
    <w:rsid w:val="00B96934"/>
    <w:rsid w:val="00B96D15"/>
    <w:rsid w:val="00B97263"/>
    <w:rsid w:val="00BA0447"/>
    <w:rsid w:val="00BA0497"/>
    <w:rsid w:val="00BA07E2"/>
    <w:rsid w:val="00BA1FF8"/>
    <w:rsid w:val="00BA2280"/>
    <w:rsid w:val="00BA2599"/>
    <w:rsid w:val="00BA2672"/>
    <w:rsid w:val="00BA2A08"/>
    <w:rsid w:val="00BA2BC3"/>
    <w:rsid w:val="00BA3BFE"/>
    <w:rsid w:val="00BA3DF6"/>
    <w:rsid w:val="00BA3FB6"/>
    <w:rsid w:val="00BA403B"/>
    <w:rsid w:val="00BA44A9"/>
    <w:rsid w:val="00BA4D4A"/>
    <w:rsid w:val="00BA56D2"/>
    <w:rsid w:val="00BA5B83"/>
    <w:rsid w:val="00BA60AC"/>
    <w:rsid w:val="00BA621B"/>
    <w:rsid w:val="00BA6F1C"/>
    <w:rsid w:val="00BA76E0"/>
    <w:rsid w:val="00BB09B5"/>
    <w:rsid w:val="00BB0EBC"/>
    <w:rsid w:val="00BB102E"/>
    <w:rsid w:val="00BB2334"/>
    <w:rsid w:val="00BB23C7"/>
    <w:rsid w:val="00BB23EF"/>
    <w:rsid w:val="00BB2402"/>
    <w:rsid w:val="00BB2477"/>
    <w:rsid w:val="00BB2792"/>
    <w:rsid w:val="00BB2A25"/>
    <w:rsid w:val="00BB2D0A"/>
    <w:rsid w:val="00BB2D25"/>
    <w:rsid w:val="00BB2FD8"/>
    <w:rsid w:val="00BB3148"/>
    <w:rsid w:val="00BB314F"/>
    <w:rsid w:val="00BB3287"/>
    <w:rsid w:val="00BB36AD"/>
    <w:rsid w:val="00BB40C1"/>
    <w:rsid w:val="00BB4B78"/>
    <w:rsid w:val="00BB51E9"/>
    <w:rsid w:val="00BB51EC"/>
    <w:rsid w:val="00BB5A9C"/>
    <w:rsid w:val="00BB5F1A"/>
    <w:rsid w:val="00BB6139"/>
    <w:rsid w:val="00BB62E3"/>
    <w:rsid w:val="00BB63E5"/>
    <w:rsid w:val="00BB70FF"/>
    <w:rsid w:val="00BB7B92"/>
    <w:rsid w:val="00BC013C"/>
    <w:rsid w:val="00BC0468"/>
    <w:rsid w:val="00BC0A57"/>
    <w:rsid w:val="00BC0FDC"/>
    <w:rsid w:val="00BC1295"/>
    <w:rsid w:val="00BC156D"/>
    <w:rsid w:val="00BC1826"/>
    <w:rsid w:val="00BC1A64"/>
    <w:rsid w:val="00BC21DF"/>
    <w:rsid w:val="00BC2A35"/>
    <w:rsid w:val="00BC2E16"/>
    <w:rsid w:val="00BC3053"/>
    <w:rsid w:val="00BC39AA"/>
    <w:rsid w:val="00BC41BD"/>
    <w:rsid w:val="00BC43AA"/>
    <w:rsid w:val="00BC4562"/>
    <w:rsid w:val="00BC4C86"/>
    <w:rsid w:val="00BC4D2E"/>
    <w:rsid w:val="00BC4F3A"/>
    <w:rsid w:val="00BC5000"/>
    <w:rsid w:val="00BC50E8"/>
    <w:rsid w:val="00BC54AD"/>
    <w:rsid w:val="00BC553A"/>
    <w:rsid w:val="00BC5C1C"/>
    <w:rsid w:val="00BC6110"/>
    <w:rsid w:val="00BC6923"/>
    <w:rsid w:val="00BC6AB8"/>
    <w:rsid w:val="00BC6B12"/>
    <w:rsid w:val="00BC6BD8"/>
    <w:rsid w:val="00BC6C78"/>
    <w:rsid w:val="00BC6FA0"/>
    <w:rsid w:val="00BC7285"/>
    <w:rsid w:val="00BC78E1"/>
    <w:rsid w:val="00BC7A12"/>
    <w:rsid w:val="00BD02AE"/>
    <w:rsid w:val="00BD0780"/>
    <w:rsid w:val="00BD08E0"/>
    <w:rsid w:val="00BD11AC"/>
    <w:rsid w:val="00BD11B4"/>
    <w:rsid w:val="00BD14D4"/>
    <w:rsid w:val="00BD18F4"/>
    <w:rsid w:val="00BD1AD7"/>
    <w:rsid w:val="00BD2286"/>
    <w:rsid w:val="00BD23A3"/>
    <w:rsid w:val="00BD2F05"/>
    <w:rsid w:val="00BD389D"/>
    <w:rsid w:val="00BD4099"/>
    <w:rsid w:val="00BD4694"/>
    <w:rsid w:val="00BD48AC"/>
    <w:rsid w:val="00BD4CA5"/>
    <w:rsid w:val="00BD4DD8"/>
    <w:rsid w:val="00BD5060"/>
    <w:rsid w:val="00BD50AA"/>
    <w:rsid w:val="00BD5167"/>
    <w:rsid w:val="00BD524B"/>
    <w:rsid w:val="00BD5261"/>
    <w:rsid w:val="00BD5BE3"/>
    <w:rsid w:val="00BD5D9F"/>
    <w:rsid w:val="00BD5F1A"/>
    <w:rsid w:val="00BD775C"/>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FA6"/>
    <w:rsid w:val="00BE333F"/>
    <w:rsid w:val="00BE3806"/>
    <w:rsid w:val="00BE3956"/>
    <w:rsid w:val="00BE3CA4"/>
    <w:rsid w:val="00BE453F"/>
    <w:rsid w:val="00BE45A2"/>
    <w:rsid w:val="00BE4780"/>
    <w:rsid w:val="00BE48BB"/>
    <w:rsid w:val="00BE4E75"/>
    <w:rsid w:val="00BE52DE"/>
    <w:rsid w:val="00BE5653"/>
    <w:rsid w:val="00BE64BF"/>
    <w:rsid w:val="00BE6CB3"/>
    <w:rsid w:val="00BE6D25"/>
    <w:rsid w:val="00BE6DC1"/>
    <w:rsid w:val="00BE6E6B"/>
    <w:rsid w:val="00BE7406"/>
    <w:rsid w:val="00BE7603"/>
    <w:rsid w:val="00BE776A"/>
    <w:rsid w:val="00BE7975"/>
    <w:rsid w:val="00BE7B69"/>
    <w:rsid w:val="00BE7EED"/>
    <w:rsid w:val="00BF035A"/>
    <w:rsid w:val="00BF06DC"/>
    <w:rsid w:val="00BF0E4D"/>
    <w:rsid w:val="00BF1BE6"/>
    <w:rsid w:val="00BF1C98"/>
    <w:rsid w:val="00BF1D81"/>
    <w:rsid w:val="00BF2886"/>
    <w:rsid w:val="00BF3100"/>
    <w:rsid w:val="00BF3279"/>
    <w:rsid w:val="00BF3928"/>
    <w:rsid w:val="00BF476A"/>
    <w:rsid w:val="00BF5429"/>
    <w:rsid w:val="00BF56B7"/>
    <w:rsid w:val="00BF5903"/>
    <w:rsid w:val="00BF5ACD"/>
    <w:rsid w:val="00BF714A"/>
    <w:rsid w:val="00BF71F2"/>
    <w:rsid w:val="00BF72F5"/>
    <w:rsid w:val="00BF73E7"/>
    <w:rsid w:val="00BF74C7"/>
    <w:rsid w:val="00BF77C3"/>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E13"/>
    <w:rsid w:val="00C040F7"/>
    <w:rsid w:val="00C04197"/>
    <w:rsid w:val="00C04239"/>
    <w:rsid w:val="00C044AB"/>
    <w:rsid w:val="00C04D74"/>
    <w:rsid w:val="00C04FFC"/>
    <w:rsid w:val="00C0506E"/>
    <w:rsid w:val="00C055EF"/>
    <w:rsid w:val="00C05706"/>
    <w:rsid w:val="00C058BF"/>
    <w:rsid w:val="00C059ED"/>
    <w:rsid w:val="00C06206"/>
    <w:rsid w:val="00C066B3"/>
    <w:rsid w:val="00C07377"/>
    <w:rsid w:val="00C0762E"/>
    <w:rsid w:val="00C079B2"/>
    <w:rsid w:val="00C07CA5"/>
    <w:rsid w:val="00C07F46"/>
    <w:rsid w:val="00C10478"/>
    <w:rsid w:val="00C1050D"/>
    <w:rsid w:val="00C10862"/>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735"/>
    <w:rsid w:val="00C16977"/>
    <w:rsid w:val="00C17623"/>
    <w:rsid w:val="00C20445"/>
    <w:rsid w:val="00C2048C"/>
    <w:rsid w:val="00C2120E"/>
    <w:rsid w:val="00C21347"/>
    <w:rsid w:val="00C21363"/>
    <w:rsid w:val="00C22209"/>
    <w:rsid w:val="00C22685"/>
    <w:rsid w:val="00C2279E"/>
    <w:rsid w:val="00C2285F"/>
    <w:rsid w:val="00C22DC8"/>
    <w:rsid w:val="00C23150"/>
    <w:rsid w:val="00C234FF"/>
    <w:rsid w:val="00C2390A"/>
    <w:rsid w:val="00C23CD3"/>
    <w:rsid w:val="00C24724"/>
    <w:rsid w:val="00C24F34"/>
    <w:rsid w:val="00C25101"/>
    <w:rsid w:val="00C2555E"/>
    <w:rsid w:val="00C25FF4"/>
    <w:rsid w:val="00C26584"/>
    <w:rsid w:val="00C268E6"/>
    <w:rsid w:val="00C271C7"/>
    <w:rsid w:val="00C2756C"/>
    <w:rsid w:val="00C276BE"/>
    <w:rsid w:val="00C279B5"/>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359"/>
    <w:rsid w:val="00C35513"/>
    <w:rsid w:val="00C35F7C"/>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DCC"/>
    <w:rsid w:val="00C42E00"/>
    <w:rsid w:val="00C43C94"/>
    <w:rsid w:val="00C43D5E"/>
    <w:rsid w:val="00C44095"/>
    <w:rsid w:val="00C443CD"/>
    <w:rsid w:val="00C455A0"/>
    <w:rsid w:val="00C455B4"/>
    <w:rsid w:val="00C45F46"/>
    <w:rsid w:val="00C46F96"/>
    <w:rsid w:val="00C46FEF"/>
    <w:rsid w:val="00C473A5"/>
    <w:rsid w:val="00C47583"/>
    <w:rsid w:val="00C477D8"/>
    <w:rsid w:val="00C5060C"/>
    <w:rsid w:val="00C50EF6"/>
    <w:rsid w:val="00C50F36"/>
    <w:rsid w:val="00C51BEC"/>
    <w:rsid w:val="00C51BEE"/>
    <w:rsid w:val="00C52337"/>
    <w:rsid w:val="00C52792"/>
    <w:rsid w:val="00C52CEA"/>
    <w:rsid w:val="00C54386"/>
    <w:rsid w:val="00C54607"/>
    <w:rsid w:val="00C54995"/>
    <w:rsid w:val="00C54B37"/>
    <w:rsid w:val="00C54D41"/>
    <w:rsid w:val="00C55067"/>
    <w:rsid w:val="00C551F8"/>
    <w:rsid w:val="00C553B8"/>
    <w:rsid w:val="00C554E0"/>
    <w:rsid w:val="00C555BE"/>
    <w:rsid w:val="00C562F8"/>
    <w:rsid w:val="00C57427"/>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FCB"/>
    <w:rsid w:val="00C65B46"/>
    <w:rsid w:val="00C65C8E"/>
    <w:rsid w:val="00C661F3"/>
    <w:rsid w:val="00C6642E"/>
    <w:rsid w:val="00C66F9B"/>
    <w:rsid w:val="00C6704E"/>
    <w:rsid w:val="00C673A3"/>
    <w:rsid w:val="00C67615"/>
    <w:rsid w:val="00C7011C"/>
    <w:rsid w:val="00C7014C"/>
    <w:rsid w:val="00C70340"/>
    <w:rsid w:val="00C703C4"/>
    <w:rsid w:val="00C70697"/>
    <w:rsid w:val="00C70900"/>
    <w:rsid w:val="00C714FA"/>
    <w:rsid w:val="00C71B10"/>
    <w:rsid w:val="00C71F04"/>
    <w:rsid w:val="00C72093"/>
    <w:rsid w:val="00C7258D"/>
    <w:rsid w:val="00C725A5"/>
    <w:rsid w:val="00C726E6"/>
    <w:rsid w:val="00C72EF4"/>
    <w:rsid w:val="00C73621"/>
    <w:rsid w:val="00C73B6E"/>
    <w:rsid w:val="00C74082"/>
    <w:rsid w:val="00C742F1"/>
    <w:rsid w:val="00C744FE"/>
    <w:rsid w:val="00C746B3"/>
    <w:rsid w:val="00C757E7"/>
    <w:rsid w:val="00C758F9"/>
    <w:rsid w:val="00C75A87"/>
    <w:rsid w:val="00C75C3B"/>
    <w:rsid w:val="00C75D2F"/>
    <w:rsid w:val="00C761F8"/>
    <w:rsid w:val="00C7668C"/>
    <w:rsid w:val="00C766F8"/>
    <w:rsid w:val="00C767BE"/>
    <w:rsid w:val="00C76E3C"/>
    <w:rsid w:val="00C76ECA"/>
    <w:rsid w:val="00C7756F"/>
    <w:rsid w:val="00C77577"/>
    <w:rsid w:val="00C80662"/>
    <w:rsid w:val="00C80B0B"/>
    <w:rsid w:val="00C80C0A"/>
    <w:rsid w:val="00C811AC"/>
    <w:rsid w:val="00C81568"/>
    <w:rsid w:val="00C8157C"/>
    <w:rsid w:val="00C8172E"/>
    <w:rsid w:val="00C81900"/>
    <w:rsid w:val="00C81AE7"/>
    <w:rsid w:val="00C81B3E"/>
    <w:rsid w:val="00C81BFB"/>
    <w:rsid w:val="00C81FD6"/>
    <w:rsid w:val="00C82593"/>
    <w:rsid w:val="00C82C23"/>
    <w:rsid w:val="00C82F11"/>
    <w:rsid w:val="00C8332B"/>
    <w:rsid w:val="00C83B81"/>
    <w:rsid w:val="00C83B8A"/>
    <w:rsid w:val="00C83BCB"/>
    <w:rsid w:val="00C83C10"/>
    <w:rsid w:val="00C84A00"/>
    <w:rsid w:val="00C84F6B"/>
    <w:rsid w:val="00C850A3"/>
    <w:rsid w:val="00C85506"/>
    <w:rsid w:val="00C85AC0"/>
    <w:rsid w:val="00C85B38"/>
    <w:rsid w:val="00C86204"/>
    <w:rsid w:val="00C8631C"/>
    <w:rsid w:val="00C86742"/>
    <w:rsid w:val="00C869E7"/>
    <w:rsid w:val="00C86AD3"/>
    <w:rsid w:val="00C86C3C"/>
    <w:rsid w:val="00C86F41"/>
    <w:rsid w:val="00C8720A"/>
    <w:rsid w:val="00C8733F"/>
    <w:rsid w:val="00C8735B"/>
    <w:rsid w:val="00C9027A"/>
    <w:rsid w:val="00C9068E"/>
    <w:rsid w:val="00C90AEF"/>
    <w:rsid w:val="00C90BF8"/>
    <w:rsid w:val="00C90DA7"/>
    <w:rsid w:val="00C91050"/>
    <w:rsid w:val="00C9236D"/>
    <w:rsid w:val="00C9266C"/>
    <w:rsid w:val="00C931D0"/>
    <w:rsid w:val="00C93814"/>
    <w:rsid w:val="00C93C4B"/>
    <w:rsid w:val="00C942B5"/>
    <w:rsid w:val="00C94416"/>
    <w:rsid w:val="00C944AB"/>
    <w:rsid w:val="00C95063"/>
    <w:rsid w:val="00C9582B"/>
    <w:rsid w:val="00C95B40"/>
    <w:rsid w:val="00C96BA0"/>
    <w:rsid w:val="00C975A7"/>
    <w:rsid w:val="00CA003E"/>
    <w:rsid w:val="00CA005E"/>
    <w:rsid w:val="00CA0D1F"/>
    <w:rsid w:val="00CA108E"/>
    <w:rsid w:val="00CA141B"/>
    <w:rsid w:val="00CA1ED8"/>
    <w:rsid w:val="00CA217F"/>
    <w:rsid w:val="00CA3047"/>
    <w:rsid w:val="00CA305B"/>
    <w:rsid w:val="00CA3444"/>
    <w:rsid w:val="00CA3470"/>
    <w:rsid w:val="00CA3866"/>
    <w:rsid w:val="00CA3B40"/>
    <w:rsid w:val="00CA3EE5"/>
    <w:rsid w:val="00CA4A45"/>
    <w:rsid w:val="00CA5735"/>
    <w:rsid w:val="00CA57D1"/>
    <w:rsid w:val="00CA587C"/>
    <w:rsid w:val="00CA5D4C"/>
    <w:rsid w:val="00CA6E0E"/>
    <w:rsid w:val="00CA6E65"/>
    <w:rsid w:val="00CA6F18"/>
    <w:rsid w:val="00CA6FEB"/>
    <w:rsid w:val="00CA77FE"/>
    <w:rsid w:val="00CB016B"/>
    <w:rsid w:val="00CB021C"/>
    <w:rsid w:val="00CB039E"/>
    <w:rsid w:val="00CB0854"/>
    <w:rsid w:val="00CB0A1C"/>
    <w:rsid w:val="00CB0B10"/>
    <w:rsid w:val="00CB0B37"/>
    <w:rsid w:val="00CB0F0F"/>
    <w:rsid w:val="00CB1EBE"/>
    <w:rsid w:val="00CB1F63"/>
    <w:rsid w:val="00CB2058"/>
    <w:rsid w:val="00CB24D2"/>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F6"/>
    <w:rsid w:val="00CC32A8"/>
    <w:rsid w:val="00CC3EA0"/>
    <w:rsid w:val="00CC4832"/>
    <w:rsid w:val="00CC4B58"/>
    <w:rsid w:val="00CC50B0"/>
    <w:rsid w:val="00CC590E"/>
    <w:rsid w:val="00CC595E"/>
    <w:rsid w:val="00CC5BB1"/>
    <w:rsid w:val="00CC5C0F"/>
    <w:rsid w:val="00CC5F0A"/>
    <w:rsid w:val="00CC5F1C"/>
    <w:rsid w:val="00CC5FD6"/>
    <w:rsid w:val="00CC646F"/>
    <w:rsid w:val="00CC64B8"/>
    <w:rsid w:val="00CC6589"/>
    <w:rsid w:val="00CC7B45"/>
    <w:rsid w:val="00CC7B5F"/>
    <w:rsid w:val="00CD0B59"/>
    <w:rsid w:val="00CD1188"/>
    <w:rsid w:val="00CD16D8"/>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4F4"/>
    <w:rsid w:val="00CD7672"/>
    <w:rsid w:val="00CD7693"/>
    <w:rsid w:val="00CD76DC"/>
    <w:rsid w:val="00CD7A82"/>
    <w:rsid w:val="00CD7C0C"/>
    <w:rsid w:val="00CD7C8B"/>
    <w:rsid w:val="00CE01BC"/>
    <w:rsid w:val="00CE0201"/>
    <w:rsid w:val="00CE0263"/>
    <w:rsid w:val="00CE0424"/>
    <w:rsid w:val="00CE13AA"/>
    <w:rsid w:val="00CE282E"/>
    <w:rsid w:val="00CE29ED"/>
    <w:rsid w:val="00CE36A9"/>
    <w:rsid w:val="00CE3AE7"/>
    <w:rsid w:val="00CE3F78"/>
    <w:rsid w:val="00CE41E4"/>
    <w:rsid w:val="00CE464F"/>
    <w:rsid w:val="00CE48C0"/>
    <w:rsid w:val="00CE4959"/>
    <w:rsid w:val="00CE5058"/>
    <w:rsid w:val="00CE54DF"/>
    <w:rsid w:val="00CE57F8"/>
    <w:rsid w:val="00CE582B"/>
    <w:rsid w:val="00CE5A05"/>
    <w:rsid w:val="00CE69E3"/>
    <w:rsid w:val="00CE6BDC"/>
    <w:rsid w:val="00CE7561"/>
    <w:rsid w:val="00CE7773"/>
    <w:rsid w:val="00CE7B93"/>
    <w:rsid w:val="00CE7E1A"/>
    <w:rsid w:val="00CF02A3"/>
    <w:rsid w:val="00CF07EA"/>
    <w:rsid w:val="00CF0A6D"/>
    <w:rsid w:val="00CF0CB3"/>
    <w:rsid w:val="00CF1054"/>
    <w:rsid w:val="00CF1354"/>
    <w:rsid w:val="00CF1B21"/>
    <w:rsid w:val="00CF1B46"/>
    <w:rsid w:val="00CF1C63"/>
    <w:rsid w:val="00CF1C93"/>
    <w:rsid w:val="00CF20A6"/>
    <w:rsid w:val="00CF28A9"/>
    <w:rsid w:val="00CF2BC0"/>
    <w:rsid w:val="00CF3B1F"/>
    <w:rsid w:val="00CF3BF6"/>
    <w:rsid w:val="00CF4632"/>
    <w:rsid w:val="00CF4760"/>
    <w:rsid w:val="00CF5CF2"/>
    <w:rsid w:val="00CF5EC2"/>
    <w:rsid w:val="00CF625B"/>
    <w:rsid w:val="00CF687E"/>
    <w:rsid w:val="00CF6A07"/>
    <w:rsid w:val="00CF6C86"/>
    <w:rsid w:val="00CF6FEE"/>
    <w:rsid w:val="00CF7BBA"/>
    <w:rsid w:val="00CF7D74"/>
    <w:rsid w:val="00D001E2"/>
    <w:rsid w:val="00D01031"/>
    <w:rsid w:val="00D016F2"/>
    <w:rsid w:val="00D01851"/>
    <w:rsid w:val="00D0197E"/>
    <w:rsid w:val="00D028A1"/>
    <w:rsid w:val="00D0349B"/>
    <w:rsid w:val="00D0357A"/>
    <w:rsid w:val="00D035FF"/>
    <w:rsid w:val="00D0377C"/>
    <w:rsid w:val="00D03851"/>
    <w:rsid w:val="00D0387F"/>
    <w:rsid w:val="00D03B37"/>
    <w:rsid w:val="00D041D3"/>
    <w:rsid w:val="00D04372"/>
    <w:rsid w:val="00D049A3"/>
    <w:rsid w:val="00D05582"/>
    <w:rsid w:val="00D0562B"/>
    <w:rsid w:val="00D056D3"/>
    <w:rsid w:val="00D057D1"/>
    <w:rsid w:val="00D06272"/>
    <w:rsid w:val="00D0668B"/>
    <w:rsid w:val="00D06C00"/>
    <w:rsid w:val="00D06CDD"/>
    <w:rsid w:val="00D06E7F"/>
    <w:rsid w:val="00D0717A"/>
    <w:rsid w:val="00D0741E"/>
    <w:rsid w:val="00D077C2"/>
    <w:rsid w:val="00D0785F"/>
    <w:rsid w:val="00D07A2F"/>
    <w:rsid w:val="00D07C90"/>
    <w:rsid w:val="00D10249"/>
    <w:rsid w:val="00D10843"/>
    <w:rsid w:val="00D10F62"/>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426"/>
    <w:rsid w:val="00D145B5"/>
    <w:rsid w:val="00D1492F"/>
    <w:rsid w:val="00D14BD1"/>
    <w:rsid w:val="00D14D2C"/>
    <w:rsid w:val="00D14F5D"/>
    <w:rsid w:val="00D1502B"/>
    <w:rsid w:val="00D17AF8"/>
    <w:rsid w:val="00D20F61"/>
    <w:rsid w:val="00D20F6E"/>
    <w:rsid w:val="00D21278"/>
    <w:rsid w:val="00D21577"/>
    <w:rsid w:val="00D218AE"/>
    <w:rsid w:val="00D22391"/>
    <w:rsid w:val="00D22E27"/>
    <w:rsid w:val="00D22E98"/>
    <w:rsid w:val="00D239A7"/>
    <w:rsid w:val="00D23F47"/>
    <w:rsid w:val="00D2451D"/>
    <w:rsid w:val="00D24E2E"/>
    <w:rsid w:val="00D2553A"/>
    <w:rsid w:val="00D2584A"/>
    <w:rsid w:val="00D25E47"/>
    <w:rsid w:val="00D2638B"/>
    <w:rsid w:val="00D26705"/>
    <w:rsid w:val="00D26D92"/>
    <w:rsid w:val="00D276F0"/>
    <w:rsid w:val="00D27B2B"/>
    <w:rsid w:val="00D27D6A"/>
    <w:rsid w:val="00D27F9E"/>
    <w:rsid w:val="00D302AD"/>
    <w:rsid w:val="00D302BD"/>
    <w:rsid w:val="00D3109E"/>
    <w:rsid w:val="00D324EC"/>
    <w:rsid w:val="00D32CEE"/>
    <w:rsid w:val="00D330E3"/>
    <w:rsid w:val="00D33553"/>
    <w:rsid w:val="00D33708"/>
    <w:rsid w:val="00D3387C"/>
    <w:rsid w:val="00D33D7C"/>
    <w:rsid w:val="00D34501"/>
    <w:rsid w:val="00D35783"/>
    <w:rsid w:val="00D35BDB"/>
    <w:rsid w:val="00D36822"/>
    <w:rsid w:val="00D368EB"/>
    <w:rsid w:val="00D36DAD"/>
    <w:rsid w:val="00D36E71"/>
    <w:rsid w:val="00D36E8C"/>
    <w:rsid w:val="00D37582"/>
    <w:rsid w:val="00D37D87"/>
    <w:rsid w:val="00D40571"/>
    <w:rsid w:val="00D40989"/>
    <w:rsid w:val="00D40A18"/>
    <w:rsid w:val="00D40B33"/>
    <w:rsid w:val="00D414D5"/>
    <w:rsid w:val="00D417B0"/>
    <w:rsid w:val="00D41C08"/>
    <w:rsid w:val="00D42B45"/>
    <w:rsid w:val="00D42F79"/>
    <w:rsid w:val="00D4318F"/>
    <w:rsid w:val="00D4369A"/>
    <w:rsid w:val="00D438BF"/>
    <w:rsid w:val="00D438C7"/>
    <w:rsid w:val="00D43914"/>
    <w:rsid w:val="00D43F9D"/>
    <w:rsid w:val="00D440F8"/>
    <w:rsid w:val="00D44657"/>
    <w:rsid w:val="00D447BF"/>
    <w:rsid w:val="00D4560F"/>
    <w:rsid w:val="00D4609D"/>
    <w:rsid w:val="00D465B3"/>
    <w:rsid w:val="00D467D9"/>
    <w:rsid w:val="00D46E47"/>
    <w:rsid w:val="00D475A9"/>
    <w:rsid w:val="00D5002F"/>
    <w:rsid w:val="00D50848"/>
    <w:rsid w:val="00D511FD"/>
    <w:rsid w:val="00D516DA"/>
    <w:rsid w:val="00D51719"/>
    <w:rsid w:val="00D518B8"/>
    <w:rsid w:val="00D51AF9"/>
    <w:rsid w:val="00D51ECF"/>
    <w:rsid w:val="00D521FC"/>
    <w:rsid w:val="00D52586"/>
    <w:rsid w:val="00D527C0"/>
    <w:rsid w:val="00D529EE"/>
    <w:rsid w:val="00D52ED3"/>
    <w:rsid w:val="00D546FF"/>
    <w:rsid w:val="00D547E6"/>
    <w:rsid w:val="00D55601"/>
    <w:rsid w:val="00D55AD5"/>
    <w:rsid w:val="00D55D39"/>
    <w:rsid w:val="00D55DE7"/>
    <w:rsid w:val="00D56BF5"/>
    <w:rsid w:val="00D572AA"/>
    <w:rsid w:val="00D57380"/>
    <w:rsid w:val="00D576CA"/>
    <w:rsid w:val="00D57C81"/>
    <w:rsid w:val="00D60D26"/>
    <w:rsid w:val="00D61273"/>
    <w:rsid w:val="00D61AF5"/>
    <w:rsid w:val="00D61EF3"/>
    <w:rsid w:val="00D61FA4"/>
    <w:rsid w:val="00D62076"/>
    <w:rsid w:val="00D623FE"/>
    <w:rsid w:val="00D6295C"/>
    <w:rsid w:val="00D63124"/>
    <w:rsid w:val="00D63973"/>
    <w:rsid w:val="00D63CD9"/>
    <w:rsid w:val="00D64C42"/>
    <w:rsid w:val="00D64CB3"/>
    <w:rsid w:val="00D64FA2"/>
    <w:rsid w:val="00D652B5"/>
    <w:rsid w:val="00D658CB"/>
    <w:rsid w:val="00D66155"/>
    <w:rsid w:val="00D661B6"/>
    <w:rsid w:val="00D66BA5"/>
    <w:rsid w:val="00D66E8E"/>
    <w:rsid w:val="00D67975"/>
    <w:rsid w:val="00D67C79"/>
    <w:rsid w:val="00D70078"/>
    <w:rsid w:val="00D70080"/>
    <w:rsid w:val="00D7009B"/>
    <w:rsid w:val="00D70849"/>
    <w:rsid w:val="00D708B0"/>
    <w:rsid w:val="00D71527"/>
    <w:rsid w:val="00D7178B"/>
    <w:rsid w:val="00D72025"/>
    <w:rsid w:val="00D729D6"/>
    <w:rsid w:val="00D72B9F"/>
    <w:rsid w:val="00D72C52"/>
    <w:rsid w:val="00D72F2A"/>
    <w:rsid w:val="00D73776"/>
    <w:rsid w:val="00D7383A"/>
    <w:rsid w:val="00D7393D"/>
    <w:rsid w:val="00D74102"/>
    <w:rsid w:val="00D74715"/>
    <w:rsid w:val="00D749A6"/>
    <w:rsid w:val="00D74A66"/>
    <w:rsid w:val="00D74F9B"/>
    <w:rsid w:val="00D75C22"/>
    <w:rsid w:val="00D76E87"/>
    <w:rsid w:val="00D77210"/>
    <w:rsid w:val="00D77306"/>
    <w:rsid w:val="00D77B1D"/>
    <w:rsid w:val="00D77EFE"/>
    <w:rsid w:val="00D8021F"/>
    <w:rsid w:val="00D80383"/>
    <w:rsid w:val="00D80B57"/>
    <w:rsid w:val="00D80CFE"/>
    <w:rsid w:val="00D80FE8"/>
    <w:rsid w:val="00D81643"/>
    <w:rsid w:val="00D823C6"/>
    <w:rsid w:val="00D827BA"/>
    <w:rsid w:val="00D8327F"/>
    <w:rsid w:val="00D84307"/>
    <w:rsid w:val="00D851DC"/>
    <w:rsid w:val="00D85236"/>
    <w:rsid w:val="00D856F3"/>
    <w:rsid w:val="00D862FC"/>
    <w:rsid w:val="00D86B4D"/>
    <w:rsid w:val="00D86CA3"/>
    <w:rsid w:val="00D86D5D"/>
    <w:rsid w:val="00D871CE"/>
    <w:rsid w:val="00D87E6E"/>
    <w:rsid w:val="00D907EB"/>
    <w:rsid w:val="00D9120D"/>
    <w:rsid w:val="00D91361"/>
    <w:rsid w:val="00D916AF"/>
    <w:rsid w:val="00D9196D"/>
    <w:rsid w:val="00D92067"/>
    <w:rsid w:val="00D92982"/>
    <w:rsid w:val="00D92BB3"/>
    <w:rsid w:val="00D92F36"/>
    <w:rsid w:val="00D93086"/>
    <w:rsid w:val="00D93368"/>
    <w:rsid w:val="00D93F82"/>
    <w:rsid w:val="00D943C5"/>
    <w:rsid w:val="00D9469A"/>
    <w:rsid w:val="00D947D9"/>
    <w:rsid w:val="00D95C2C"/>
    <w:rsid w:val="00D9625B"/>
    <w:rsid w:val="00D96909"/>
    <w:rsid w:val="00D96D98"/>
    <w:rsid w:val="00DA000F"/>
    <w:rsid w:val="00DA059E"/>
    <w:rsid w:val="00DA0AAC"/>
    <w:rsid w:val="00DA0B9E"/>
    <w:rsid w:val="00DA179E"/>
    <w:rsid w:val="00DA187A"/>
    <w:rsid w:val="00DA18FF"/>
    <w:rsid w:val="00DA2C5A"/>
    <w:rsid w:val="00DA305E"/>
    <w:rsid w:val="00DA387C"/>
    <w:rsid w:val="00DA3D1C"/>
    <w:rsid w:val="00DA41E7"/>
    <w:rsid w:val="00DA4339"/>
    <w:rsid w:val="00DA45F4"/>
    <w:rsid w:val="00DA4654"/>
    <w:rsid w:val="00DA4C01"/>
    <w:rsid w:val="00DA4D36"/>
    <w:rsid w:val="00DA5417"/>
    <w:rsid w:val="00DA549A"/>
    <w:rsid w:val="00DA562F"/>
    <w:rsid w:val="00DA5655"/>
    <w:rsid w:val="00DA56E8"/>
    <w:rsid w:val="00DA5A48"/>
    <w:rsid w:val="00DA5E58"/>
    <w:rsid w:val="00DA663D"/>
    <w:rsid w:val="00DA66C6"/>
    <w:rsid w:val="00DB0054"/>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6774"/>
    <w:rsid w:val="00DB6D30"/>
    <w:rsid w:val="00DB7009"/>
    <w:rsid w:val="00DB716A"/>
    <w:rsid w:val="00DB7275"/>
    <w:rsid w:val="00DB73BB"/>
    <w:rsid w:val="00DB73CE"/>
    <w:rsid w:val="00DB7923"/>
    <w:rsid w:val="00DB7F13"/>
    <w:rsid w:val="00DC0065"/>
    <w:rsid w:val="00DC05CC"/>
    <w:rsid w:val="00DC0AD8"/>
    <w:rsid w:val="00DC13D0"/>
    <w:rsid w:val="00DC1708"/>
    <w:rsid w:val="00DC2B88"/>
    <w:rsid w:val="00DC2D36"/>
    <w:rsid w:val="00DC2FF9"/>
    <w:rsid w:val="00DC324C"/>
    <w:rsid w:val="00DC45EC"/>
    <w:rsid w:val="00DC4951"/>
    <w:rsid w:val="00DC4970"/>
    <w:rsid w:val="00DC53EF"/>
    <w:rsid w:val="00DC64D8"/>
    <w:rsid w:val="00DC6BD1"/>
    <w:rsid w:val="00DC74F8"/>
    <w:rsid w:val="00DC7B70"/>
    <w:rsid w:val="00DD010E"/>
    <w:rsid w:val="00DD0628"/>
    <w:rsid w:val="00DD186C"/>
    <w:rsid w:val="00DD258E"/>
    <w:rsid w:val="00DD294C"/>
    <w:rsid w:val="00DD2CF6"/>
    <w:rsid w:val="00DD363A"/>
    <w:rsid w:val="00DD408E"/>
    <w:rsid w:val="00DD5E8F"/>
    <w:rsid w:val="00DD63DB"/>
    <w:rsid w:val="00DD6528"/>
    <w:rsid w:val="00DD6602"/>
    <w:rsid w:val="00DD66C2"/>
    <w:rsid w:val="00DD6CF5"/>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5418"/>
    <w:rsid w:val="00DE5608"/>
    <w:rsid w:val="00DE58D0"/>
    <w:rsid w:val="00DE5FA7"/>
    <w:rsid w:val="00DE6154"/>
    <w:rsid w:val="00DE627F"/>
    <w:rsid w:val="00DE654F"/>
    <w:rsid w:val="00DE6B3D"/>
    <w:rsid w:val="00DE6D1A"/>
    <w:rsid w:val="00DE72D3"/>
    <w:rsid w:val="00DE776C"/>
    <w:rsid w:val="00DE77AD"/>
    <w:rsid w:val="00DE7837"/>
    <w:rsid w:val="00DE7A5A"/>
    <w:rsid w:val="00DF02F6"/>
    <w:rsid w:val="00DF0B6E"/>
    <w:rsid w:val="00DF0E57"/>
    <w:rsid w:val="00DF1073"/>
    <w:rsid w:val="00DF1125"/>
    <w:rsid w:val="00DF11DC"/>
    <w:rsid w:val="00DF1320"/>
    <w:rsid w:val="00DF13AE"/>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D9"/>
    <w:rsid w:val="00E01946"/>
    <w:rsid w:val="00E01DEF"/>
    <w:rsid w:val="00E0347A"/>
    <w:rsid w:val="00E035E1"/>
    <w:rsid w:val="00E0384C"/>
    <w:rsid w:val="00E04B29"/>
    <w:rsid w:val="00E04BF5"/>
    <w:rsid w:val="00E04C11"/>
    <w:rsid w:val="00E04F3D"/>
    <w:rsid w:val="00E04F4C"/>
    <w:rsid w:val="00E0501F"/>
    <w:rsid w:val="00E058EC"/>
    <w:rsid w:val="00E0600F"/>
    <w:rsid w:val="00E07C1D"/>
    <w:rsid w:val="00E07F67"/>
    <w:rsid w:val="00E100E8"/>
    <w:rsid w:val="00E10A08"/>
    <w:rsid w:val="00E10DED"/>
    <w:rsid w:val="00E10EA1"/>
    <w:rsid w:val="00E110E7"/>
    <w:rsid w:val="00E11B20"/>
    <w:rsid w:val="00E12150"/>
    <w:rsid w:val="00E12E9D"/>
    <w:rsid w:val="00E1321F"/>
    <w:rsid w:val="00E136CF"/>
    <w:rsid w:val="00E13AFF"/>
    <w:rsid w:val="00E14120"/>
    <w:rsid w:val="00E1449A"/>
    <w:rsid w:val="00E15488"/>
    <w:rsid w:val="00E15F55"/>
    <w:rsid w:val="00E1650A"/>
    <w:rsid w:val="00E16DE0"/>
    <w:rsid w:val="00E16FE8"/>
    <w:rsid w:val="00E17515"/>
    <w:rsid w:val="00E17587"/>
    <w:rsid w:val="00E179EB"/>
    <w:rsid w:val="00E17FA2"/>
    <w:rsid w:val="00E20510"/>
    <w:rsid w:val="00E21358"/>
    <w:rsid w:val="00E21ECB"/>
    <w:rsid w:val="00E22330"/>
    <w:rsid w:val="00E224D9"/>
    <w:rsid w:val="00E224F8"/>
    <w:rsid w:val="00E232F5"/>
    <w:rsid w:val="00E240D8"/>
    <w:rsid w:val="00E24E75"/>
    <w:rsid w:val="00E25E7E"/>
    <w:rsid w:val="00E26271"/>
    <w:rsid w:val="00E26FCE"/>
    <w:rsid w:val="00E272AD"/>
    <w:rsid w:val="00E2739A"/>
    <w:rsid w:val="00E276EC"/>
    <w:rsid w:val="00E27F11"/>
    <w:rsid w:val="00E30917"/>
    <w:rsid w:val="00E30B5A"/>
    <w:rsid w:val="00E30D5D"/>
    <w:rsid w:val="00E3123D"/>
    <w:rsid w:val="00E31461"/>
    <w:rsid w:val="00E3190D"/>
    <w:rsid w:val="00E31D43"/>
    <w:rsid w:val="00E31E94"/>
    <w:rsid w:val="00E322AF"/>
    <w:rsid w:val="00E32608"/>
    <w:rsid w:val="00E3362C"/>
    <w:rsid w:val="00E33672"/>
    <w:rsid w:val="00E33686"/>
    <w:rsid w:val="00E34188"/>
    <w:rsid w:val="00E341C3"/>
    <w:rsid w:val="00E3429B"/>
    <w:rsid w:val="00E3444D"/>
    <w:rsid w:val="00E34982"/>
    <w:rsid w:val="00E34A11"/>
    <w:rsid w:val="00E34B6E"/>
    <w:rsid w:val="00E35388"/>
    <w:rsid w:val="00E35559"/>
    <w:rsid w:val="00E36669"/>
    <w:rsid w:val="00E36763"/>
    <w:rsid w:val="00E367AD"/>
    <w:rsid w:val="00E3723A"/>
    <w:rsid w:val="00E3765E"/>
    <w:rsid w:val="00E3766B"/>
    <w:rsid w:val="00E37860"/>
    <w:rsid w:val="00E37EEE"/>
    <w:rsid w:val="00E41219"/>
    <w:rsid w:val="00E41D62"/>
    <w:rsid w:val="00E42DC9"/>
    <w:rsid w:val="00E42F49"/>
    <w:rsid w:val="00E42FC7"/>
    <w:rsid w:val="00E43551"/>
    <w:rsid w:val="00E43767"/>
    <w:rsid w:val="00E437E0"/>
    <w:rsid w:val="00E439A0"/>
    <w:rsid w:val="00E43D32"/>
    <w:rsid w:val="00E446F1"/>
    <w:rsid w:val="00E44D61"/>
    <w:rsid w:val="00E4512F"/>
    <w:rsid w:val="00E451AC"/>
    <w:rsid w:val="00E4587B"/>
    <w:rsid w:val="00E4589D"/>
    <w:rsid w:val="00E46886"/>
    <w:rsid w:val="00E46C70"/>
    <w:rsid w:val="00E47AEF"/>
    <w:rsid w:val="00E47EF5"/>
    <w:rsid w:val="00E50A81"/>
    <w:rsid w:val="00E50DD0"/>
    <w:rsid w:val="00E5159F"/>
    <w:rsid w:val="00E51950"/>
    <w:rsid w:val="00E5221E"/>
    <w:rsid w:val="00E53328"/>
    <w:rsid w:val="00E53489"/>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37E"/>
    <w:rsid w:val="00E5647D"/>
    <w:rsid w:val="00E567F1"/>
    <w:rsid w:val="00E56861"/>
    <w:rsid w:val="00E56BB9"/>
    <w:rsid w:val="00E56CE6"/>
    <w:rsid w:val="00E56E8C"/>
    <w:rsid w:val="00E57565"/>
    <w:rsid w:val="00E57753"/>
    <w:rsid w:val="00E578C3"/>
    <w:rsid w:val="00E57DC7"/>
    <w:rsid w:val="00E60458"/>
    <w:rsid w:val="00E606A2"/>
    <w:rsid w:val="00E60C04"/>
    <w:rsid w:val="00E60E34"/>
    <w:rsid w:val="00E6164F"/>
    <w:rsid w:val="00E61BAD"/>
    <w:rsid w:val="00E61BFA"/>
    <w:rsid w:val="00E62700"/>
    <w:rsid w:val="00E62A03"/>
    <w:rsid w:val="00E6368B"/>
    <w:rsid w:val="00E63838"/>
    <w:rsid w:val="00E63A14"/>
    <w:rsid w:val="00E63FE3"/>
    <w:rsid w:val="00E64357"/>
    <w:rsid w:val="00E64434"/>
    <w:rsid w:val="00E64511"/>
    <w:rsid w:val="00E6456B"/>
    <w:rsid w:val="00E6494E"/>
    <w:rsid w:val="00E64CD3"/>
    <w:rsid w:val="00E6517E"/>
    <w:rsid w:val="00E6545D"/>
    <w:rsid w:val="00E65D73"/>
    <w:rsid w:val="00E65DD7"/>
    <w:rsid w:val="00E6626F"/>
    <w:rsid w:val="00E66EBE"/>
    <w:rsid w:val="00E6718A"/>
    <w:rsid w:val="00E678BD"/>
    <w:rsid w:val="00E67A2B"/>
    <w:rsid w:val="00E67C51"/>
    <w:rsid w:val="00E67D71"/>
    <w:rsid w:val="00E67DE4"/>
    <w:rsid w:val="00E67F91"/>
    <w:rsid w:val="00E70473"/>
    <w:rsid w:val="00E71503"/>
    <w:rsid w:val="00E7154F"/>
    <w:rsid w:val="00E71780"/>
    <w:rsid w:val="00E71DEE"/>
    <w:rsid w:val="00E7203E"/>
    <w:rsid w:val="00E724C8"/>
    <w:rsid w:val="00E72D01"/>
    <w:rsid w:val="00E72EFC"/>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589"/>
    <w:rsid w:val="00E81123"/>
    <w:rsid w:val="00E81925"/>
    <w:rsid w:val="00E81DDE"/>
    <w:rsid w:val="00E82053"/>
    <w:rsid w:val="00E8234C"/>
    <w:rsid w:val="00E827F2"/>
    <w:rsid w:val="00E83722"/>
    <w:rsid w:val="00E83AA9"/>
    <w:rsid w:val="00E83B30"/>
    <w:rsid w:val="00E83D55"/>
    <w:rsid w:val="00E83FE1"/>
    <w:rsid w:val="00E840EE"/>
    <w:rsid w:val="00E843FE"/>
    <w:rsid w:val="00E849DF"/>
    <w:rsid w:val="00E84E19"/>
    <w:rsid w:val="00E8582B"/>
    <w:rsid w:val="00E85928"/>
    <w:rsid w:val="00E85C48"/>
    <w:rsid w:val="00E86626"/>
    <w:rsid w:val="00E86C8C"/>
    <w:rsid w:val="00E86C99"/>
    <w:rsid w:val="00E875F4"/>
    <w:rsid w:val="00E87822"/>
    <w:rsid w:val="00E87974"/>
    <w:rsid w:val="00E90395"/>
    <w:rsid w:val="00E90E49"/>
    <w:rsid w:val="00E917F9"/>
    <w:rsid w:val="00E9200D"/>
    <w:rsid w:val="00E92021"/>
    <w:rsid w:val="00E9291C"/>
    <w:rsid w:val="00E93711"/>
    <w:rsid w:val="00E93C2C"/>
    <w:rsid w:val="00E93C53"/>
    <w:rsid w:val="00E93D4F"/>
    <w:rsid w:val="00E93E22"/>
    <w:rsid w:val="00E93FFE"/>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40DA"/>
    <w:rsid w:val="00EA42B3"/>
    <w:rsid w:val="00EA42B9"/>
    <w:rsid w:val="00EA4462"/>
    <w:rsid w:val="00EA527C"/>
    <w:rsid w:val="00EA5545"/>
    <w:rsid w:val="00EA5A5F"/>
    <w:rsid w:val="00EA691E"/>
    <w:rsid w:val="00EA6DD3"/>
    <w:rsid w:val="00EA6F21"/>
    <w:rsid w:val="00EA7715"/>
    <w:rsid w:val="00EA79FC"/>
    <w:rsid w:val="00EA7A41"/>
    <w:rsid w:val="00EB00EA"/>
    <w:rsid w:val="00EB010B"/>
    <w:rsid w:val="00EB0272"/>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A4F"/>
    <w:rsid w:val="00EB5BB0"/>
    <w:rsid w:val="00EB5D80"/>
    <w:rsid w:val="00EB630B"/>
    <w:rsid w:val="00EB63C1"/>
    <w:rsid w:val="00EB64EC"/>
    <w:rsid w:val="00EB6A96"/>
    <w:rsid w:val="00EB7DE6"/>
    <w:rsid w:val="00EC0009"/>
    <w:rsid w:val="00EC0345"/>
    <w:rsid w:val="00EC1240"/>
    <w:rsid w:val="00EC198F"/>
    <w:rsid w:val="00EC1A1F"/>
    <w:rsid w:val="00EC24D5"/>
    <w:rsid w:val="00EC27C6"/>
    <w:rsid w:val="00EC2C94"/>
    <w:rsid w:val="00EC35B6"/>
    <w:rsid w:val="00EC367C"/>
    <w:rsid w:val="00EC39FD"/>
    <w:rsid w:val="00EC410B"/>
    <w:rsid w:val="00EC4207"/>
    <w:rsid w:val="00EC4410"/>
    <w:rsid w:val="00EC4D6B"/>
    <w:rsid w:val="00EC5006"/>
    <w:rsid w:val="00EC5653"/>
    <w:rsid w:val="00EC592C"/>
    <w:rsid w:val="00EC63EE"/>
    <w:rsid w:val="00EC6407"/>
    <w:rsid w:val="00EC668C"/>
    <w:rsid w:val="00EC67F0"/>
    <w:rsid w:val="00EC71CE"/>
    <w:rsid w:val="00EC7E34"/>
    <w:rsid w:val="00ED01D6"/>
    <w:rsid w:val="00ED07F7"/>
    <w:rsid w:val="00ED0AE0"/>
    <w:rsid w:val="00ED0F4C"/>
    <w:rsid w:val="00ED1006"/>
    <w:rsid w:val="00ED10F4"/>
    <w:rsid w:val="00ED1286"/>
    <w:rsid w:val="00ED1449"/>
    <w:rsid w:val="00ED1790"/>
    <w:rsid w:val="00ED23A5"/>
    <w:rsid w:val="00ED2818"/>
    <w:rsid w:val="00ED286A"/>
    <w:rsid w:val="00ED2EAF"/>
    <w:rsid w:val="00ED2FBF"/>
    <w:rsid w:val="00ED312F"/>
    <w:rsid w:val="00ED3138"/>
    <w:rsid w:val="00ED3184"/>
    <w:rsid w:val="00ED3FA4"/>
    <w:rsid w:val="00ED4033"/>
    <w:rsid w:val="00ED4554"/>
    <w:rsid w:val="00ED478D"/>
    <w:rsid w:val="00ED48A2"/>
    <w:rsid w:val="00ED5BA3"/>
    <w:rsid w:val="00ED5E5B"/>
    <w:rsid w:val="00ED5F72"/>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F42"/>
    <w:rsid w:val="00EE454A"/>
    <w:rsid w:val="00EE4993"/>
    <w:rsid w:val="00EE4B8D"/>
    <w:rsid w:val="00EE4BC7"/>
    <w:rsid w:val="00EE5980"/>
    <w:rsid w:val="00EE6695"/>
    <w:rsid w:val="00EE67AF"/>
    <w:rsid w:val="00EE758D"/>
    <w:rsid w:val="00EE7F1D"/>
    <w:rsid w:val="00EF059F"/>
    <w:rsid w:val="00EF06F7"/>
    <w:rsid w:val="00EF0739"/>
    <w:rsid w:val="00EF1162"/>
    <w:rsid w:val="00EF18FE"/>
    <w:rsid w:val="00EF197F"/>
    <w:rsid w:val="00EF1A07"/>
    <w:rsid w:val="00EF1A55"/>
    <w:rsid w:val="00EF1D3C"/>
    <w:rsid w:val="00EF1D72"/>
    <w:rsid w:val="00EF2C5B"/>
    <w:rsid w:val="00EF2E50"/>
    <w:rsid w:val="00EF2E6E"/>
    <w:rsid w:val="00EF3050"/>
    <w:rsid w:val="00EF3FED"/>
    <w:rsid w:val="00EF4111"/>
    <w:rsid w:val="00EF506F"/>
    <w:rsid w:val="00EF5218"/>
    <w:rsid w:val="00EF5675"/>
    <w:rsid w:val="00EF5787"/>
    <w:rsid w:val="00EF57AF"/>
    <w:rsid w:val="00EF5C41"/>
    <w:rsid w:val="00EF60D0"/>
    <w:rsid w:val="00EF62DA"/>
    <w:rsid w:val="00EF6411"/>
    <w:rsid w:val="00EF6447"/>
    <w:rsid w:val="00EF6649"/>
    <w:rsid w:val="00EF7128"/>
    <w:rsid w:val="00EF726F"/>
    <w:rsid w:val="00EF772E"/>
    <w:rsid w:val="00F0068E"/>
    <w:rsid w:val="00F009FC"/>
    <w:rsid w:val="00F00F78"/>
    <w:rsid w:val="00F011B0"/>
    <w:rsid w:val="00F016CE"/>
    <w:rsid w:val="00F01E80"/>
    <w:rsid w:val="00F0221C"/>
    <w:rsid w:val="00F032EE"/>
    <w:rsid w:val="00F03809"/>
    <w:rsid w:val="00F04689"/>
    <w:rsid w:val="00F046FB"/>
    <w:rsid w:val="00F0482B"/>
    <w:rsid w:val="00F0528D"/>
    <w:rsid w:val="00F054B2"/>
    <w:rsid w:val="00F05CB6"/>
    <w:rsid w:val="00F05EF7"/>
    <w:rsid w:val="00F06597"/>
    <w:rsid w:val="00F066C5"/>
    <w:rsid w:val="00F0672C"/>
    <w:rsid w:val="00F0689B"/>
    <w:rsid w:val="00F069BE"/>
    <w:rsid w:val="00F06C67"/>
    <w:rsid w:val="00F06D69"/>
    <w:rsid w:val="00F06DFD"/>
    <w:rsid w:val="00F07112"/>
    <w:rsid w:val="00F071D1"/>
    <w:rsid w:val="00F07533"/>
    <w:rsid w:val="00F10629"/>
    <w:rsid w:val="00F10933"/>
    <w:rsid w:val="00F109D8"/>
    <w:rsid w:val="00F1103A"/>
    <w:rsid w:val="00F11414"/>
    <w:rsid w:val="00F12C8F"/>
    <w:rsid w:val="00F1334C"/>
    <w:rsid w:val="00F134AF"/>
    <w:rsid w:val="00F13B97"/>
    <w:rsid w:val="00F14647"/>
    <w:rsid w:val="00F14755"/>
    <w:rsid w:val="00F14B15"/>
    <w:rsid w:val="00F15063"/>
    <w:rsid w:val="00F159C4"/>
    <w:rsid w:val="00F15E54"/>
    <w:rsid w:val="00F15EBD"/>
    <w:rsid w:val="00F15FA5"/>
    <w:rsid w:val="00F166E0"/>
    <w:rsid w:val="00F168E3"/>
    <w:rsid w:val="00F16BAE"/>
    <w:rsid w:val="00F16C65"/>
    <w:rsid w:val="00F178B7"/>
    <w:rsid w:val="00F17A60"/>
    <w:rsid w:val="00F17E30"/>
    <w:rsid w:val="00F20545"/>
    <w:rsid w:val="00F20843"/>
    <w:rsid w:val="00F209B7"/>
    <w:rsid w:val="00F20F5C"/>
    <w:rsid w:val="00F216ED"/>
    <w:rsid w:val="00F217BB"/>
    <w:rsid w:val="00F219F8"/>
    <w:rsid w:val="00F225F1"/>
    <w:rsid w:val="00F22FDB"/>
    <w:rsid w:val="00F232B9"/>
    <w:rsid w:val="00F2376F"/>
    <w:rsid w:val="00F2388C"/>
    <w:rsid w:val="00F243D8"/>
    <w:rsid w:val="00F25A43"/>
    <w:rsid w:val="00F26108"/>
    <w:rsid w:val="00F26233"/>
    <w:rsid w:val="00F266EC"/>
    <w:rsid w:val="00F26C1F"/>
    <w:rsid w:val="00F27196"/>
    <w:rsid w:val="00F277A3"/>
    <w:rsid w:val="00F278C5"/>
    <w:rsid w:val="00F27D52"/>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321A"/>
    <w:rsid w:val="00F33745"/>
    <w:rsid w:val="00F33DF0"/>
    <w:rsid w:val="00F33F7B"/>
    <w:rsid w:val="00F3477B"/>
    <w:rsid w:val="00F34EA5"/>
    <w:rsid w:val="00F35131"/>
    <w:rsid w:val="00F354C8"/>
    <w:rsid w:val="00F35694"/>
    <w:rsid w:val="00F35703"/>
    <w:rsid w:val="00F35B17"/>
    <w:rsid w:val="00F3645D"/>
    <w:rsid w:val="00F367BE"/>
    <w:rsid w:val="00F36C59"/>
    <w:rsid w:val="00F36DD9"/>
    <w:rsid w:val="00F37012"/>
    <w:rsid w:val="00F37807"/>
    <w:rsid w:val="00F404A9"/>
    <w:rsid w:val="00F40825"/>
    <w:rsid w:val="00F408FE"/>
    <w:rsid w:val="00F40F0C"/>
    <w:rsid w:val="00F411CC"/>
    <w:rsid w:val="00F41304"/>
    <w:rsid w:val="00F413E9"/>
    <w:rsid w:val="00F42176"/>
    <w:rsid w:val="00F42A1D"/>
    <w:rsid w:val="00F42E5A"/>
    <w:rsid w:val="00F431D9"/>
    <w:rsid w:val="00F434AA"/>
    <w:rsid w:val="00F43DD5"/>
    <w:rsid w:val="00F43E9C"/>
    <w:rsid w:val="00F4467B"/>
    <w:rsid w:val="00F447E0"/>
    <w:rsid w:val="00F448D9"/>
    <w:rsid w:val="00F45028"/>
    <w:rsid w:val="00F450CB"/>
    <w:rsid w:val="00F45B2C"/>
    <w:rsid w:val="00F45B9E"/>
    <w:rsid w:val="00F45C4E"/>
    <w:rsid w:val="00F462A7"/>
    <w:rsid w:val="00F46E86"/>
    <w:rsid w:val="00F4766C"/>
    <w:rsid w:val="00F47688"/>
    <w:rsid w:val="00F503D0"/>
    <w:rsid w:val="00F5060E"/>
    <w:rsid w:val="00F507D1"/>
    <w:rsid w:val="00F507DD"/>
    <w:rsid w:val="00F50817"/>
    <w:rsid w:val="00F519CE"/>
    <w:rsid w:val="00F51ADA"/>
    <w:rsid w:val="00F52540"/>
    <w:rsid w:val="00F528FF"/>
    <w:rsid w:val="00F52AE4"/>
    <w:rsid w:val="00F52C14"/>
    <w:rsid w:val="00F52FDC"/>
    <w:rsid w:val="00F52FE7"/>
    <w:rsid w:val="00F53005"/>
    <w:rsid w:val="00F5324E"/>
    <w:rsid w:val="00F534FD"/>
    <w:rsid w:val="00F5374A"/>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703BE"/>
    <w:rsid w:val="00F70BCA"/>
    <w:rsid w:val="00F71479"/>
    <w:rsid w:val="00F7186E"/>
    <w:rsid w:val="00F71A55"/>
    <w:rsid w:val="00F71EEA"/>
    <w:rsid w:val="00F71F69"/>
    <w:rsid w:val="00F72311"/>
    <w:rsid w:val="00F72B72"/>
    <w:rsid w:val="00F72D2A"/>
    <w:rsid w:val="00F732F6"/>
    <w:rsid w:val="00F73748"/>
    <w:rsid w:val="00F739E3"/>
    <w:rsid w:val="00F7462B"/>
    <w:rsid w:val="00F747EF"/>
    <w:rsid w:val="00F749BB"/>
    <w:rsid w:val="00F74BB9"/>
    <w:rsid w:val="00F75582"/>
    <w:rsid w:val="00F75AF3"/>
    <w:rsid w:val="00F76007"/>
    <w:rsid w:val="00F762E7"/>
    <w:rsid w:val="00F76EFA"/>
    <w:rsid w:val="00F77905"/>
    <w:rsid w:val="00F804BE"/>
    <w:rsid w:val="00F80A5D"/>
    <w:rsid w:val="00F80C8D"/>
    <w:rsid w:val="00F80FF5"/>
    <w:rsid w:val="00F814F5"/>
    <w:rsid w:val="00F817CE"/>
    <w:rsid w:val="00F8259D"/>
    <w:rsid w:val="00F82E6A"/>
    <w:rsid w:val="00F82FB8"/>
    <w:rsid w:val="00F83045"/>
    <w:rsid w:val="00F83235"/>
    <w:rsid w:val="00F8395B"/>
    <w:rsid w:val="00F8398B"/>
    <w:rsid w:val="00F83C82"/>
    <w:rsid w:val="00F8447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53B"/>
    <w:rsid w:val="00F918AB"/>
    <w:rsid w:val="00F91B4B"/>
    <w:rsid w:val="00F91E83"/>
    <w:rsid w:val="00F91EE6"/>
    <w:rsid w:val="00F92782"/>
    <w:rsid w:val="00F9282B"/>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E68"/>
    <w:rsid w:val="00FA22F9"/>
    <w:rsid w:val="00FA2BB3"/>
    <w:rsid w:val="00FA3535"/>
    <w:rsid w:val="00FA3692"/>
    <w:rsid w:val="00FA3836"/>
    <w:rsid w:val="00FA3AB6"/>
    <w:rsid w:val="00FA3B5D"/>
    <w:rsid w:val="00FA42F0"/>
    <w:rsid w:val="00FA4610"/>
    <w:rsid w:val="00FA4DF9"/>
    <w:rsid w:val="00FA4EBE"/>
    <w:rsid w:val="00FA5207"/>
    <w:rsid w:val="00FA587C"/>
    <w:rsid w:val="00FA5C7D"/>
    <w:rsid w:val="00FA60AD"/>
    <w:rsid w:val="00FA61BF"/>
    <w:rsid w:val="00FA6541"/>
    <w:rsid w:val="00FA65F0"/>
    <w:rsid w:val="00FA691D"/>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8A5"/>
    <w:rsid w:val="00FB3A2C"/>
    <w:rsid w:val="00FB3B6E"/>
    <w:rsid w:val="00FB4510"/>
    <w:rsid w:val="00FB4C80"/>
    <w:rsid w:val="00FB4EE2"/>
    <w:rsid w:val="00FB50E4"/>
    <w:rsid w:val="00FB580E"/>
    <w:rsid w:val="00FB5E44"/>
    <w:rsid w:val="00FB6571"/>
    <w:rsid w:val="00FB6A6A"/>
    <w:rsid w:val="00FB6EC1"/>
    <w:rsid w:val="00FB7183"/>
    <w:rsid w:val="00FC027E"/>
    <w:rsid w:val="00FC0663"/>
    <w:rsid w:val="00FC1152"/>
    <w:rsid w:val="00FC13AA"/>
    <w:rsid w:val="00FC15B1"/>
    <w:rsid w:val="00FC1A7B"/>
    <w:rsid w:val="00FC2224"/>
    <w:rsid w:val="00FC2424"/>
    <w:rsid w:val="00FC283E"/>
    <w:rsid w:val="00FC2FC0"/>
    <w:rsid w:val="00FC36AC"/>
    <w:rsid w:val="00FC404F"/>
    <w:rsid w:val="00FC40ED"/>
    <w:rsid w:val="00FC42AF"/>
    <w:rsid w:val="00FC54C8"/>
    <w:rsid w:val="00FC5C04"/>
    <w:rsid w:val="00FC620C"/>
    <w:rsid w:val="00FC6385"/>
    <w:rsid w:val="00FC65A3"/>
    <w:rsid w:val="00FC6932"/>
    <w:rsid w:val="00FC7429"/>
    <w:rsid w:val="00FC7D0F"/>
    <w:rsid w:val="00FC7F04"/>
    <w:rsid w:val="00FD0401"/>
    <w:rsid w:val="00FD07F6"/>
    <w:rsid w:val="00FD08B5"/>
    <w:rsid w:val="00FD0BA7"/>
    <w:rsid w:val="00FD1006"/>
    <w:rsid w:val="00FD18F5"/>
    <w:rsid w:val="00FD1BFE"/>
    <w:rsid w:val="00FD1EC8"/>
    <w:rsid w:val="00FD315A"/>
    <w:rsid w:val="00FD47ED"/>
    <w:rsid w:val="00FD48C5"/>
    <w:rsid w:val="00FD4B37"/>
    <w:rsid w:val="00FD4C07"/>
    <w:rsid w:val="00FD4CAC"/>
    <w:rsid w:val="00FD4D21"/>
    <w:rsid w:val="00FD4D57"/>
    <w:rsid w:val="00FD5180"/>
    <w:rsid w:val="00FD530C"/>
    <w:rsid w:val="00FD556F"/>
    <w:rsid w:val="00FD6FAE"/>
    <w:rsid w:val="00FD7193"/>
    <w:rsid w:val="00FD744D"/>
    <w:rsid w:val="00FD74DB"/>
    <w:rsid w:val="00FD7660"/>
    <w:rsid w:val="00FD793A"/>
    <w:rsid w:val="00FD79B0"/>
    <w:rsid w:val="00FD7DB7"/>
    <w:rsid w:val="00FE00A1"/>
    <w:rsid w:val="00FE0655"/>
    <w:rsid w:val="00FE0BAC"/>
    <w:rsid w:val="00FE0FD0"/>
    <w:rsid w:val="00FE1061"/>
    <w:rsid w:val="00FE1147"/>
    <w:rsid w:val="00FE1DCC"/>
    <w:rsid w:val="00FE1F83"/>
    <w:rsid w:val="00FE2365"/>
    <w:rsid w:val="00FE2435"/>
    <w:rsid w:val="00FE25CB"/>
    <w:rsid w:val="00FE2647"/>
    <w:rsid w:val="00FE2FB0"/>
    <w:rsid w:val="00FE32CB"/>
    <w:rsid w:val="00FE37D7"/>
    <w:rsid w:val="00FE43D7"/>
    <w:rsid w:val="00FE4422"/>
    <w:rsid w:val="00FE4630"/>
    <w:rsid w:val="00FE493B"/>
    <w:rsid w:val="00FE4A3C"/>
    <w:rsid w:val="00FE4AC7"/>
    <w:rsid w:val="00FE4B87"/>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C4C"/>
    <w:rsid w:val="00FF0EFC"/>
    <w:rsid w:val="00FF14A4"/>
    <w:rsid w:val="00FF1C71"/>
    <w:rsid w:val="00FF2222"/>
    <w:rsid w:val="00FF2D6B"/>
    <w:rsid w:val="00FF38E3"/>
    <w:rsid w:val="00FF3C97"/>
    <w:rsid w:val="00FF4183"/>
    <w:rsid w:val="00FF45A5"/>
    <w:rsid w:val="00FF4640"/>
    <w:rsid w:val="00FF4747"/>
    <w:rsid w:val="00FF4E49"/>
    <w:rsid w:val="00FF4F18"/>
    <w:rsid w:val="00FF4FC2"/>
    <w:rsid w:val="00FF5247"/>
    <w:rsid w:val="00FF543E"/>
    <w:rsid w:val="00FF56ED"/>
    <w:rsid w:val="00FF5850"/>
    <w:rsid w:val="00FF5C91"/>
    <w:rsid w:val="00FF6BBB"/>
    <w:rsid w:val="00FF6EE2"/>
    <w:rsid w:val="00FF70D9"/>
    <w:rsid w:val="00FF71D2"/>
    <w:rsid w:val="00FF7768"/>
    <w:rsid w:val="00FF78F2"/>
    <w:rsid w:val="00FF7A26"/>
    <w:rsid w:val="01C04BCB"/>
    <w:rsid w:val="098F3946"/>
    <w:rsid w:val="0A613395"/>
    <w:rsid w:val="130CE09E"/>
    <w:rsid w:val="18B0EA5D"/>
    <w:rsid w:val="195A7EC0"/>
    <w:rsid w:val="197437C6"/>
    <w:rsid w:val="20330B36"/>
    <w:rsid w:val="20F95045"/>
    <w:rsid w:val="22C454BB"/>
    <w:rsid w:val="23108F9C"/>
    <w:rsid w:val="27509200"/>
    <w:rsid w:val="2790B410"/>
    <w:rsid w:val="2984355A"/>
    <w:rsid w:val="2AC285FE"/>
    <w:rsid w:val="2C4D7F29"/>
    <w:rsid w:val="30540B83"/>
    <w:rsid w:val="31B9E741"/>
    <w:rsid w:val="334B8881"/>
    <w:rsid w:val="33D25F50"/>
    <w:rsid w:val="372A941F"/>
    <w:rsid w:val="3B6DA6B3"/>
    <w:rsid w:val="3EF9F801"/>
    <w:rsid w:val="4088AE1C"/>
    <w:rsid w:val="430A67DC"/>
    <w:rsid w:val="43845911"/>
    <w:rsid w:val="458AD33B"/>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1E58C5F-DA30-4D97-A5F3-59856797B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56267257-DDEC-40B3-9C48-179F923BF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6602</TotalTime>
  <Pages>6</Pages>
  <Words>3425</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22903</CharactersWithSpaces>
  <SharedDoc>false</SharedDoc>
  <HLinks>
    <vt:vector size="126" baseType="variant">
      <vt:variant>
        <vt:i4>1114160</vt:i4>
      </vt:variant>
      <vt:variant>
        <vt:i4>154</vt:i4>
      </vt:variant>
      <vt:variant>
        <vt:i4>0</vt:i4>
      </vt:variant>
      <vt:variant>
        <vt:i4>5</vt:i4>
      </vt:variant>
      <vt:variant>
        <vt:lpwstr/>
      </vt:variant>
      <vt:variant>
        <vt:lpwstr>_Toc142603372</vt:lpwstr>
      </vt:variant>
      <vt:variant>
        <vt:i4>1114160</vt:i4>
      </vt:variant>
      <vt:variant>
        <vt:i4>151</vt:i4>
      </vt:variant>
      <vt:variant>
        <vt:i4>0</vt:i4>
      </vt:variant>
      <vt:variant>
        <vt:i4>5</vt:i4>
      </vt:variant>
      <vt:variant>
        <vt:lpwstr/>
      </vt:variant>
      <vt:variant>
        <vt:lpwstr>_Toc142603371</vt:lpwstr>
      </vt:variant>
      <vt:variant>
        <vt:i4>1114160</vt:i4>
      </vt:variant>
      <vt:variant>
        <vt:i4>148</vt:i4>
      </vt:variant>
      <vt:variant>
        <vt:i4>0</vt:i4>
      </vt:variant>
      <vt:variant>
        <vt:i4>5</vt:i4>
      </vt:variant>
      <vt:variant>
        <vt:lpwstr/>
      </vt:variant>
      <vt:variant>
        <vt:lpwstr>_Toc142603370</vt:lpwstr>
      </vt:variant>
      <vt:variant>
        <vt:i4>1048624</vt:i4>
      </vt:variant>
      <vt:variant>
        <vt:i4>145</vt:i4>
      </vt:variant>
      <vt:variant>
        <vt:i4>0</vt:i4>
      </vt:variant>
      <vt:variant>
        <vt:i4>5</vt:i4>
      </vt:variant>
      <vt:variant>
        <vt:lpwstr/>
      </vt:variant>
      <vt:variant>
        <vt:lpwstr>_Toc142603369</vt:lpwstr>
      </vt:variant>
      <vt:variant>
        <vt:i4>1048624</vt:i4>
      </vt:variant>
      <vt:variant>
        <vt:i4>142</vt:i4>
      </vt:variant>
      <vt:variant>
        <vt:i4>0</vt:i4>
      </vt:variant>
      <vt:variant>
        <vt:i4>5</vt:i4>
      </vt:variant>
      <vt:variant>
        <vt:lpwstr/>
      </vt:variant>
      <vt:variant>
        <vt:lpwstr>_Toc142603368</vt:lpwstr>
      </vt:variant>
      <vt:variant>
        <vt:i4>1048624</vt:i4>
      </vt:variant>
      <vt:variant>
        <vt:i4>139</vt:i4>
      </vt:variant>
      <vt:variant>
        <vt:i4>0</vt:i4>
      </vt:variant>
      <vt:variant>
        <vt:i4>5</vt:i4>
      </vt:variant>
      <vt:variant>
        <vt:lpwstr/>
      </vt:variant>
      <vt:variant>
        <vt:lpwstr>_Toc142603367</vt:lpwstr>
      </vt:variant>
      <vt:variant>
        <vt:i4>1048624</vt:i4>
      </vt:variant>
      <vt:variant>
        <vt:i4>136</vt:i4>
      </vt:variant>
      <vt:variant>
        <vt:i4>0</vt:i4>
      </vt:variant>
      <vt:variant>
        <vt:i4>5</vt:i4>
      </vt:variant>
      <vt:variant>
        <vt:lpwstr/>
      </vt:variant>
      <vt:variant>
        <vt:lpwstr>_Toc142603365</vt:lpwstr>
      </vt:variant>
      <vt:variant>
        <vt:i4>1048624</vt:i4>
      </vt:variant>
      <vt:variant>
        <vt:i4>133</vt:i4>
      </vt:variant>
      <vt:variant>
        <vt:i4>0</vt:i4>
      </vt:variant>
      <vt:variant>
        <vt:i4>5</vt:i4>
      </vt:variant>
      <vt:variant>
        <vt:lpwstr/>
      </vt:variant>
      <vt:variant>
        <vt:lpwstr>_Toc142603364</vt:lpwstr>
      </vt:variant>
      <vt:variant>
        <vt:i4>1048624</vt:i4>
      </vt:variant>
      <vt:variant>
        <vt:i4>130</vt:i4>
      </vt:variant>
      <vt:variant>
        <vt:i4>0</vt:i4>
      </vt:variant>
      <vt:variant>
        <vt:i4>5</vt:i4>
      </vt:variant>
      <vt:variant>
        <vt:lpwstr/>
      </vt:variant>
      <vt:variant>
        <vt:lpwstr>_Toc142603363</vt:lpwstr>
      </vt:variant>
      <vt:variant>
        <vt:i4>1048624</vt:i4>
      </vt:variant>
      <vt:variant>
        <vt:i4>127</vt:i4>
      </vt:variant>
      <vt:variant>
        <vt:i4>0</vt:i4>
      </vt:variant>
      <vt:variant>
        <vt:i4>5</vt:i4>
      </vt:variant>
      <vt:variant>
        <vt:lpwstr/>
      </vt:variant>
      <vt:variant>
        <vt:lpwstr>_Toc142603362</vt:lpwstr>
      </vt:variant>
      <vt:variant>
        <vt:i4>1048624</vt:i4>
      </vt:variant>
      <vt:variant>
        <vt:i4>124</vt:i4>
      </vt:variant>
      <vt:variant>
        <vt:i4>0</vt:i4>
      </vt:variant>
      <vt:variant>
        <vt:i4>5</vt:i4>
      </vt:variant>
      <vt:variant>
        <vt:lpwstr/>
      </vt:variant>
      <vt:variant>
        <vt:lpwstr>_Toc142603360</vt:lpwstr>
      </vt:variant>
      <vt:variant>
        <vt:i4>1245232</vt:i4>
      </vt:variant>
      <vt:variant>
        <vt:i4>121</vt:i4>
      </vt:variant>
      <vt:variant>
        <vt:i4>0</vt:i4>
      </vt:variant>
      <vt:variant>
        <vt:i4>5</vt:i4>
      </vt:variant>
      <vt:variant>
        <vt:lpwstr/>
      </vt:variant>
      <vt:variant>
        <vt:lpwstr>_Toc142603359</vt:lpwstr>
      </vt:variant>
      <vt:variant>
        <vt:i4>1245232</vt:i4>
      </vt:variant>
      <vt:variant>
        <vt:i4>118</vt:i4>
      </vt:variant>
      <vt:variant>
        <vt:i4>0</vt:i4>
      </vt:variant>
      <vt:variant>
        <vt:i4>5</vt:i4>
      </vt:variant>
      <vt:variant>
        <vt:lpwstr/>
      </vt:variant>
      <vt:variant>
        <vt:lpwstr>_Toc142603358</vt:lpwstr>
      </vt:variant>
      <vt:variant>
        <vt:i4>1245232</vt:i4>
      </vt:variant>
      <vt:variant>
        <vt:i4>115</vt:i4>
      </vt:variant>
      <vt:variant>
        <vt:i4>0</vt:i4>
      </vt:variant>
      <vt:variant>
        <vt:i4>5</vt:i4>
      </vt:variant>
      <vt:variant>
        <vt:lpwstr/>
      </vt:variant>
      <vt:variant>
        <vt:lpwstr>_Toc142603357</vt:lpwstr>
      </vt:variant>
      <vt:variant>
        <vt:i4>1245232</vt:i4>
      </vt:variant>
      <vt:variant>
        <vt:i4>112</vt:i4>
      </vt:variant>
      <vt:variant>
        <vt:i4>0</vt:i4>
      </vt:variant>
      <vt:variant>
        <vt:i4>5</vt:i4>
      </vt:variant>
      <vt:variant>
        <vt:lpwstr/>
      </vt:variant>
      <vt:variant>
        <vt:lpwstr>_Toc142603356</vt:lpwstr>
      </vt:variant>
      <vt:variant>
        <vt:i4>1245232</vt:i4>
      </vt:variant>
      <vt:variant>
        <vt:i4>109</vt:i4>
      </vt:variant>
      <vt:variant>
        <vt:i4>0</vt:i4>
      </vt:variant>
      <vt:variant>
        <vt:i4>5</vt:i4>
      </vt:variant>
      <vt:variant>
        <vt:lpwstr/>
      </vt:variant>
      <vt:variant>
        <vt:lpwstr>_Toc142603355</vt:lpwstr>
      </vt:variant>
      <vt:variant>
        <vt:i4>1245232</vt:i4>
      </vt:variant>
      <vt:variant>
        <vt:i4>106</vt:i4>
      </vt:variant>
      <vt:variant>
        <vt:i4>0</vt:i4>
      </vt:variant>
      <vt:variant>
        <vt:i4>5</vt:i4>
      </vt:variant>
      <vt:variant>
        <vt:lpwstr/>
      </vt:variant>
      <vt:variant>
        <vt:lpwstr>_Toc142603354</vt:lpwstr>
      </vt:variant>
      <vt:variant>
        <vt:i4>1245232</vt:i4>
      </vt:variant>
      <vt:variant>
        <vt:i4>103</vt:i4>
      </vt:variant>
      <vt:variant>
        <vt:i4>0</vt:i4>
      </vt:variant>
      <vt:variant>
        <vt:i4>5</vt:i4>
      </vt:variant>
      <vt:variant>
        <vt:lpwstr/>
      </vt:variant>
      <vt:variant>
        <vt:lpwstr>_Toc142603353</vt:lpwstr>
      </vt:variant>
      <vt:variant>
        <vt:i4>1245232</vt:i4>
      </vt:variant>
      <vt:variant>
        <vt:i4>100</vt:i4>
      </vt:variant>
      <vt:variant>
        <vt:i4>0</vt:i4>
      </vt:variant>
      <vt:variant>
        <vt:i4>5</vt:i4>
      </vt:variant>
      <vt:variant>
        <vt:lpwstr/>
      </vt:variant>
      <vt:variant>
        <vt:lpwstr>_Toc142603352</vt:lpwstr>
      </vt:variant>
      <vt:variant>
        <vt:i4>1441840</vt:i4>
      </vt:variant>
      <vt:variant>
        <vt:i4>97</vt:i4>
      </vt:variant>
      <vt:variant>
        <vt:i4>0</vt:i4>
      </vt:variant>
      <vt:variant>
        <vt:i4>5</vt:i4>
      </vt:variant>
      <vt:variant>
        <vt:lpwstr/>
      </vt:variant>
      <vt:variant>
        <vt:lpwstr>_Toc142603305</vt:lpwstr>
      </vt:variant>
      <vt:variant>
        <vt:i4>7012425</vt:i4>
      </vt:variant>
      <vt:variant>
        <vt:i4>0</vt:i4>
      </vt:variant>
      <vt:variant>
        <vt:i4>0</vt:i4>
      </vt:variant>
      <vt:variant>
        <vt:i4>5</vt:i4>
      </vt:variant>
      <vt:variant>
        <vt:lpwstr>mailto:fabian.de.laval@ericsson.com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321</cp:revision>
  <cp:lastPrinted>2008-02-02T04:09:00Z</cp:lastPrinted>
  <dcterms:created xsi:type="dcterms:W3CDTF">2023-06-13T07:24:00Z</dcterms:created>
  <dcterms:modified xsi:type="dcterms:W3CDTF">2023-08-10T23:18:00Z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